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6873" w14:textId="48CC09B9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569DCC5B" w14:textId="2E738AD5" w:rsidR="00B73B3D" w:rsidRPr="00B13421" w:rsidRDefault="00B73B3D" w:rsidP="000B3BD0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TEHNICI DE ARGUMENTARE</w:t>
      </w:r>
    </w:p>
    <w:p w14:paraId="05E4ACEB" w14:textId="060600B2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1E319C11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615AAF1E" w:rsidR="00FD0711" w:rsidRPr="00C85494" w:rsidRDefault="00C116E4" w:rsidP="000B3BD0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D00A03">
              <w:rPr>
                <w:color w:val="9BBB59" w:themeColor="accent3"/>
                <w:sz w:val="24"/>
                <w:szCs w:val="24"/>
              </w:rPr>
              <w:t>/</w:t>
            </w:r>
            <w:r w:rsidR="00D00A03">
              <w:rPr>
                <w:color w:val="9BBB59" w:themeColor="accent3"/>
                <w:sz w:val="24"/>
                <w:szCs w:val="24"/>
              </w:rPr>
              <w:t xml:space="preserve"> </w:t>
            </w:r>
          </w:p>
        </w:tc>
      </w:tr>
      <w:tr w:rsidR="00C85494" w:rsidRPr="00C116E4" w14:paraId="3BA60826" w14:textId="77777777" w:rsidTr="004F426F">
        <w:tc>
          <w:tcPr>
            <w:tcW w:w="3823" w:type="dxa"/>
          </w:tcPr>
          <w:p w14:paraId="03B4F8D9" w14:textId="5ADBFC5A" w:rsidR="00C85494" w:rsidRPr="00850EF4" w:rsidRDefault="00C85494" w:rsidP="00C85494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409CCFC8" w:rsidR="00C85494" w:rsidRPr="00C85494" w:rsidRDefault="00C85494" w:rsidP="00C854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5494">
              <w:rPr>
                <w:rFonts w:ascii="Times New Roman" w:hAnsi="Times New Roman"/>
                <w:sz w:val="24"/>
                <w:szCs w:val="24"/>
                <w:lang w:val="pt-BR" w:eastAsia="ro-RO"/>
              </w:rPr>
              <w:t>Facultatea de Ştiinţe ale Educaţiei, Ştiinţe Sociale şi Psihologie</w:t>
            </w:r>
          </w:p>
        </w:tc>
      </w:tr>
      <w:tr w:rsidR="00C85494" w:rsidRPr="00C116E4" w14:paraId="574A0553" w14:textId="77777777" w:rsidTr="004F426F">
        <w:tc>
          <w:tcPr>
            <w:tcW w:w="3823" w:type="dxa"/>
          </w:tcPr>
          <w:p w14:paraId="6B93773D" w14:textId="7C6CF06F" w:rsidR="00C85494" w:rsidRPr="00850EF4" w:rsidRDefault="00C85494" w:rsidP="00C85494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6A135657" w:rsidR="00C85494" w:rsidRPr="00C85494" w:rsidRDefault="00C85494" w:rsidP="00C85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5494">
              <w:rPr>
                <w:rFonts w:ascii="Times New Roman" w:hAnsi="Times New Roman"/>
                <w:sz w:val="24"/>
                <w:szCs w:val="24"/>
                <w:lang w:eastAsia="ro-RO"/>
              </w:rPr>
              <w:t>Ştiinţe ale Educaţiei</w:t>
            </w:r>
          </w:p>
        </w:tc>
      </w:tr>
      <w:tr w:rsidR="00C85494" w:rsidRPr="00C116E4" w14:paraId="56B65CAC" w14:textId="77777777" w:rsidTr="004F426F">
        <w:tc>
          <w:tcPr>
            <w:tcW w:w="3823" w:type="dxa"/>
          </w:tcPr>
          <w:p w14:paraId="4DBB2F4C" w14:textId="17651D53" w:rsidR="00C85494" w:rsidRPr="00C116E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04B68034" w:rsidR="00C85494" w:rsidRPr="00C8549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494">
              <w:rPr>
                <w:rFonts w:ascii="Times New Roman" w:hAnsi="Times New Roman"/>
                <w:sz w:val="24"/>
                <w:szCs w:val="24"/>
                <w:lang w:eastAsia="ro-RO"/>
              </w:rPr>
              <w:t>Ştiinţe ale Educaţiei</w:t>
            </w:r>
          </w:p>
        </w:tc>
      </w:tr>
      <w:tr w:rsidR="00C85494" w:rsidRPr="00C116E4" w14:paraId="06D8832E" w14:textId="77777777" w:rsidTr="004F426F">
        <w:tc>
          <w:tcPr>
            <w:tcW w:w="3823" w:type="dxa"/>
          </w:tcPr>
          <w:p w14:paraId="45BF625A" w14:textId="64CEC4A6" w:rsidR="00C85494" w:rsidRPr="00C116E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6B922302" w:rsidR="00C85494" w:rsidRPr="00C85494" w:rsidRDefault="00C85494" w:rsidP="00C8549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o-RO"/>
              </w:rPr>
            </w:pPr>
            <w:r w:rsidRPr="00C85494">
              <w:rPr>
                <w:rFonts w:ascii="Times New Roman" w:eastAsia="Calibri" w:hAnsi="Times New Roman"/>
                <w:sz w:val="24"/>
                <w:szCs w:val="24"/>
                <w:lang w:eastAsia="ro-RO"/>
              </w:rPr>
              <w:t>Pedagogia învățământului primar și preșcolar/ profesor în învăţământul preşcolar profesor în învăţământul primar</w:t>
            </w:r>
          </w:p>
        </w:tc>
      </w:tr>
      <w:tr w:rsidR="00C85494" w:rsidRPr="00C116E4" w14:paraId="364B4DCD" w14:textId="77777777" w:rsidTr="004F426F">
        <w:tc>
          <w:tcPr>
            <w:tcW w:w="3823" w:type="dxa"/>
          </w:tcPr>
          <w:p w14:paraId="2D0E1983" w14:textId="1B044C64" w:rsidR="00C85494" w:rsidRPr="00C116E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2A8C963A" w:rsidR="00C85494" w:rsidRPr="00C8549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494"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C85494" w:rsidRPr="00C116E4" w14:paraId="456B9D7C" w14:textId="77777777" w:rsidTr="004F426F">
        <w:tc>
          <w:tcPr>
            <w:tcW w:w="3823" w:type="dxa"/>
          </w:tcPr>
          <w:p w14:paraId="78642FEF" w14:textId="2905D49C" w:rsidR="00C85494" w:rsidRPr="00C116E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68FCB00" w14:textId="6055F458" w:rsidR="00C85494" w:rsidRPr="00C8549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494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C85494" w:rsidRPr="00C116E4" w14:paraId="375B37EE" w14:textId="77777777" w:rsidTr="004F426F">
        <w:tc>
          <w:tcPr>
            <w:tcW w:w="3823" w:type="dxa"/>
          </w:tcPr>
          <w:p w14:paraId="62A6CD0E" w14:textId="04F1D0CE" w:rsidR="00C8549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4157CA3" w14:textId="20D9D0F2" w:rsidR="00C85494" w:rsidRPr="00C85494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494">
              <w:rPr>
                <w:rFonts w:ascii="Times New Roman" w:hAnsi="Times New Roman"/>
                <w:sz w:val="24"/>
                <w:szCs w:val="24"/>
              </w:rPr>
              <w:t xml:space="preserve">Pitești / Alexandria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1F590DFE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709D6279" w:rsidR="00C85494" w:rsidRPr="0007194F" w:rsidRDefault="00FD0711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67A8DF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7518365A" w14:textId="77777777" w:rsidR="001F003F" w:rsidRPr="00F419E1" w:rsidRDefault="001F003F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14:paraId="3996590F" w14:textId="4416AE4D" w:rsidR="001F003F" w:rsidRPr="00F419E1" w:rsidRDefault="00C85494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TEHNICI DE ARGUMENTARE</w:t>
            </w:r>
          </w:p>
        </w:tc>
      </w:tr>
      <w:tr w:rsidR="00FD0711" w:rsidRPr="0007194F" w14:paraId="3B211D2A" w14:textId="77777777" w:rsidTr="00204311">
        <w:tc>
          <w:tcPr>
            <w:tcW w:w="4449" w:type="dxa"/>
            <w:gridSpan w:val="5"/>
          </w:tcPr>
          <w:p w14:paraId="4AB7824E" w14:textId="15FF8E05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29423030" w14:textId="77777777" w:rsidR="00C85494" w:rsidRPr="00F419E1" w:rsidRDefault="00C85494" w:rsidP="00C8549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</w:pPr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Conf.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Manea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Camelia</w:t>
            </w:r>
            <w:proofErr w:type="spellEnd"/>
          </w:p>
          <w:p w14:paraId="7D0EC825" w14:textId="6B3F762E" w:rsidR="00FD0711" w:rsidRPr="00F419E1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Lect.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Bogdan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Georgescu</w:t>
            </w:r>
            <w:proofErr w:type="spellEnd"/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07F8034D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26642082" w14:textId="77777777" w:rsidR="00C85494" w:rsidRPr="00F419E1" w:rsidRDefault="00C85494" w:rsidP="00C8549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</w:pPr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Conf.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Manea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Camelia</w:t>
            </w:r>
            <w:proofErr w:type="spellEnd"/>
          </w:p>
          <w:p w14:paraId="4CA0B319" w14:textId="6A3FF1D7" w:rsidR="00FD0711" w:rsidRPr="00F419E1" w:rsidRDefault="00C85494" w:rsidP="00C85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Lect.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Bogdan </w:t>
            </w:r>
            <w:proofErr w:type="spellStart"/>
            <w:r w:rsidRPr="00F419E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Georgescu</w:t>
            </w:r>
            <w:proofErr w:type="spellEnd"/>
          </w:p>
        </w:tc>
      </w:tr>
      <w:tr w:rsidR="00700487" w:rsidRPr="0007194F" w14:paraId="3BE3C0BE" w14:textId="77777777" w:rsidTr="00204311">
        <w:tc>
          <w:tcPr>
            <w:tcW w:w="1756" w:type="dxa"/>
          </w:tcPr>
          <w:p w14:paraId="4026D74C" w14:textId="3A842B35" w:rsidR="00FD0711" w:rsidRPr="00F419E1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1C13D437" w:rsidR="00FD0711" w:rsidRPr="00F419E1" w:rsidRDefault="0070048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</w:tcPr>
          <w:p w14:paraId="7DA4A2EF" w14:textId="65528081" w:rsidR="00FD0711" w:rsidRPr="00F419E1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0204380C" w:rsidR="00FD0711" w:rsidRPr="00F419E1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47A606C7" w:rsidR="00FD0711" w:rsidRPr="00F419E1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22AC67BD" w:rsidR="00FD0711" w:rsidRPr="00F419E1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090" w:type="dxa"/>
          </w:tcPr>
          <w:p w14:paraId="2FC51EB1" w14:textId="377B7A87" w:rsidR="00FD0711" w:rsidRPr="00F419E1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F419E1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F419E1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0FC657BC" w:rsidR="00FD0711" w:rsidRPr="00F419E1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9E1">
              <w:rPr>
                <w:rFonts w:ascii="Times New Roman" w:hAnsi="Times New Roman"/>
                <w:sz w:val="24"/>
                <w:szCs w:val="24"/>
              </w:rPr>
              <w:t>O</w:t>
            </w:r>
            <w:r w:rsidR="00D605BE" w:rsidRPr="00F419E1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="007A1B42" w:rsidRPr="00C116E4" w14:paraId="14E46E6F" w14:textId="24CDA01A" w:rsidTr="00204311">
        <w:tc>
          <w:tcPr>
            <w:tcW w:w="2140" w:type="dxa"/>
            <w:gridSpan w:val="2"/>
          </w:tcPr>
          <w:p w14:paraId="2B6605C0" w14:textId="1C694C79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2130" w:type="dxa"/>
            <w:gridSpan w:val="2"/>
          </w:tcPr>
          <w:p w14:paraId="03F77098" w14:textId="331592E6" w:rsidR="00204311" w:rsidRPr="00C116E4" w:rsidRDefault="006E7AB8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19E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204311" w:rsidRPr="00F419E1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069BD6E3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 </w:t>
            </w:r>
          </w:p>
        </w:tc>
        <w:tc>
          <w:tcPr>
            <w:tcW w:w="3323" w:type="dxa"/>
            <w:gridSpan w:val="3"/>
          </w:tcPr>
          <w:p w14:paraId="7F83CE32" w14:textId="429FC6D6" w:rsidR="00204311" w:rsidRPr="007F393B" w:rsidRDefault="002043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440E265B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FD0711" w:rsidRPr="0007194F" w14:paraId="02F8C437" w14:textId="77777777" w:rsidTr="00A5014E">
        <w:tc>
          <w:tcPr>
            <w:tcW w:w="3790" w:type="dxa"/>
          </w:tcPr>
          <w:p w14:paraId="1DC014CD" w14:textId="2B93115F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1EE884BF" w:rsidR="00FD0711" w:rsidRPr="0007194F" w:rsidRDefault="00F419E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3EC49BF8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092072C4" w:rsidR="00FD0711" w:rsidRPr="0007194F" w:rsidRDefault="00F419E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14:paraId="7625568D" w14:textId="50DC7619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="00F4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 w:rsidR="00F4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F4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</w:t>
            </w:r>
            <w:r w:rsidR="00F4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" w:type="dxa"/>
          </w:tcPr>
          <w:p w14:paraId="11765071" w14:textId="655FE9A3" w:rsidR="00FD0711" w:rsidRPr="0007194F" w:rsidRDefault="00F419E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A5014E">
        <w:tc>
          <w:tcPr>
            <w:tcW w:w="3790" w:type="dxa"/>
            <w:shd w:val="clear" w:color="auto" w:fill="D9D9D9"/>
          </w:tcPr>
          <w:p w14:paraId="1C8C1832" w14:textId="23B2CBD6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2F569A02" w:rsidR="00FD0711" w:rsidRPr="0007194F" w:rsidRDefault="00F419E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0E80E115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shd w:val="clear" w:color="auto" w:fill="D9D9D9"/>
          </w:tcPr>
          <w:p w14:paraId="794B634A" w14:textId="2CEDAA28" w:rsidR="00FD0711" w:rsidRPr="0007194F" w:rsidRDefault="00F419E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3" w:type="dxa"/>
            <w:shd w:val="clear" w:color="auto" w:fill="D9D9D9"/>
          </w:tcPr>
          <w:p w14:paraId="5C2D0A56" w14:textId="3EDBFFF0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="00DA1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 w:rsidR="00DA1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DA1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</w:t>
            </w:r>
            <w:r w:rsidR="00DA1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" w:type="dxa"/>
            <w:shd w:val="clear" w:color="auto" w:fill="D9D9D9"/>
          </w:tcPr>
          <w:p w14:paraId="46F27A35" w14:textId="31B263FE" w:rsidR="00FD0711" w:rsidRPr="0007194F" w:rsidRDefault="00F419E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27D46EC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</w:p>
        </w:tc>
        <w:tc>
          <w:tcPr>
            <w:tcW w:w="555" w:type="dxa"/>
          </w:tcPr>
          <w:p w14:paraId="1769E86A" w14:textId="2666354D" w:rsidR="00FD0711" w:rsidRPr="0007194F" w:rsidRDefault="00DA17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25415CE7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5795C5DC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24F34F99" w:rsidR="0065472F" w:rsidRPr="00D85A8D" w:rsidRDefault="0065472F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74E7D3D1" w14:textId="77777777" w:rsidR="0065472F" w:rsidRPr="00DA174F" w:rsidRDefault="00DA17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74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ACF6E9D" w14:textId="77777777" w:rsidR="00DA174F" w:rsidRPr="00DA174F" w:rsidRDefault="00DA17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74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4001936" w14:textId="32D364F6" w:rsidR="00DA174F" w:rsidRPr="00DA174F" w:rsidRDefault="00DA17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7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11E5840F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68165989" w:rsidR="00FD0711" w:rsidRPr="00DA17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7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2D07F29E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7B9A799C" w:rsidR="00FD0711" w:rsidRPr="00DA174F" w:rsidRDefault="00DA174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7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50D73365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19598FD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1125D97A" w:rsidR="00FD0711" w:rsidRPr="00DA174F" w:rsidRDefault="00DA174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74F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1BEEEE5D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544294F6" w:rsidR="00FD0711" w:rsidRPr="00DA174F" w:rsidRDefault="00DA174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383B2A6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29E02CC6" w:rsidR="00FD0711" w:rsidRPr="00DA174F" w:rsidRDefault="00DA174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74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119134" w14:textId="77777777" w:rsidR="00B10D77" w:rsidRDefault="00B10D7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62CADA87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p w14:paraId="1B2E501A" w14:textId="77777777" w:rsidR="00E54FDB" w:rsidRDefault="00E54FDB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B609FA" w14:paraId="1D7E0122" w14:textId="77777777" w:rsidTr="00912246">
        <w:tc>
          <w:tcPr>
            <w:tcW w:w="3114" w:type="dxa"/>
          </w:tcPr>
          <w:p w14:paraId="18C0980C" w14:textId="38F8438C" w:rsidR="00B609FA" w:rsidRPr="005D517E" w:rsidRDefault="005D517E" w:rsidP="005D517E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="00B609FA" w:rsidRPr="005D517E">
              <w:rPr>
                <w:rFonts w:ascii="Times New Roman" w:hAnsi="Times New Roman"/>
                <w:sz w:val="24"/>
                <w:szCs w:val="24"/>
              </w:rPr>
              <w:t>de curriculum</w:t>
            </w:r>
          </w:p>
        </w:tc>
        <w:tc>
          <w:tcPr>
            <w:tcW w:w="7371" w:type="dxa"/>
          </w:tcPr>
          <w:p w14:paraId="418C322F" w14:textId="77777777" w:rsidR="00B609FA" w:rsidRDefault="00912246" w:rsidP="009122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o-RO"/>
              </w:rPr>
              <w:t xml:space="preserve">- </w:t>
            </w:r>
            <w:r w:rsidR="00B10D77" w:rsidRPr="00912246">
              <w:rPr>
                <w:rFonts w:ascii="Times New Roman" w:eastAsia="Calibri" w:hAnsi="Times New Roman"/>
                <w:sz w:val="24"/>
                <w:szCs w:val="24"/>
                <w:lang w:eastAsia="ro-RO"/>
              </w:rPr>
              <w:t xml:space="preserve">Notiuni fundamentale de </w:t>
            </w:r>
            <w:r w:rsidR="00B10D77" w:rsidRPr="00912246">
              <w:rPr>
                <w:rFonts w:ascii="Times New Roman" w:hAnsi="Times New Roman"/>
                <w:sz w:val="24"/>
                <w:szCs w:val="24"/>
              </w:rPr>
              <w:t>cunoaştere a limbii române (vocabular, morfo-sintaxă, stilistică)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651631" w14:textId="3467F987" w:rsidR="00912246" w:rsidRPr="00912246" w:rsidRDefault="00912246" w:rsidP="009122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Dispunerea de un spațiu de lucru digital integrat, accesibil tuturor studenților, pentru a susține învățarea colaborativă și schimbul de opinii în cadrul echipelor. </w:t>
            </w:r>
          </w:p>
          <w:p w14:paraId="6A1117E3" w14:textId="73FE6830" w:rsidR="00912246" w:rsidRPr="00912246" w:rsidRDefault="00912246" w:rsidP="009122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O bună organizare și planificare a activităților pe platforma digitală, cu termene clare și suport tehnic disponibil pentru studenți. </w:t>
            </w:r>
          </w:p>
          <w:p w14:paraId="2F95B643" w14:textId="591207F5" w:rsidR="00912246" w:rsidRPr="00912246" w:rsidRDefault="00912246" w:rsidP="009122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>Încurajarea utilizării resurselor digitale care să susțină dezvoltarea autonomiei în învățare și aplicarea practică a metodelor și a tehnicilor studiate.</w:t>
            </w:r>
          </w:p>
        </w:tc>
      </w:tr>
      <w:tr w:rsidR="00B609FA" w14:paraId="2114D3A9" w14:textId="77777777" w:rsidTr="00912246">
        <w:tc>
          <w:tcPr>
            <w:tcW w:w="3114" w:type="dxa"/>
          </w:tcPr>
          <w:p w14:paraId="05FE3232" w14:textId="6EF5AB0C" w:rsidR="00B609FA" w:rsidRPr="00B10D77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B10D77">
              <w:rPr>
                <w:rFonts w:ascii="Times New Roman" w:hAnsi="Times New Roman"/>
                <w:sz w:val="24"/>
                <w:szCs w:val="24"/>
              </w:rPr>
              <w:t xml:space="preserve">4.2 de </w:t>
            </w:r>
            <w:r w:rsidR="00D605BE" w:rsidRPr="00B10D77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371" w:type="dxa"/>
          </w:tcPr>
          <w:p w14:paraId="17EC29B1" w14:textId="77777777" w:rsidR="00B10D77" w:rsidRPr="00B10D77" w:rsidRDefault="00B10D77" w:rsidP="00B10D77">
            <w:pPr>
              <w:spacing w:line="276" w:lineRule="auto"/>
              <w:ind w:right="113"/>
              <w:jc w:val="both"/>
              <w:rPr>
                <w:rFonts w:ascii="Times New Roman" w:eastAsia="Calibri" w:hAnsi="Times New Roman"/>
                <w:sz w:val="24"/>
                <w:szCs w:val="24"/>
                <w:lang w:eastAsia="ro-RO"/>
              </w:rPr>
            </w:pPr>
            <w:r w:rsidRPr="00B10D77">
              <w:rPr>
                <w:rFonts w:ascii="Times New Roman" w:eastAsia="Calibri" w:hAnsi="Times New Roman"/>
                <w:sz w:val="24"/>
                <w:szCs w:val="24"/>
              </w:rPr>
              <w:t>1. Competenţe de comunicare verbală, non-verbală şi para-verbală</w:t>
            </w:r>
            <w:r w:rsidRPr="00B10D77">
              <w:rPr>
                <w:rFonts w:ascii="Times New Roman" w:eastAsia="Calibri" w:hAnsi="Times New Roman"/>
                <w:sz w:val="24"/>
                <w:szCs w:val="24"/>
                <w:lang w:eastAsia="ro-RO"/>
              </w:rPr>
              <w:t xml:space="preserve"> </w:t>
            </w:r>
          </w:p>
          <w:p w14:paraId="03D86E87" w14:textId="0EDF128F" w:rsidR="008421F0" w:rsidRPr="00B10D77" w:rsidRDefault="00B10D77" w:rsidP="00B10D77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0D77">
              <w:rPr>
                <w:rFonts w:ascii="Times New Roman" w:eastAsia="Calibri" w:hAnsi="Times New Roman"/>
                <w:sz w:val="24"/>
                <w:szCs w:val="24"/>
                <w:lang w:eastAsia="ro-RO"/>
              </w:rPr>
              <w:t>2. Capacităti de analiză, sinteză, gândire divergentă</w:t>
            </w:r>
            <w:r w:rsidR="00912246">
              <w:rPr>
                <w:rFonts w:ascii="Times New Roman" w:eastAsia="Calibri" w:hAnsi="Times New Roman"/>
                <w:sz w:val="24"/>
                <w:szCs w:val="24"/>
                <w:lang w:eastAsia="ro-RO"/>
              </w:rPr>
              <w:t>.</w:t>
            </w:r>
          </w:p>
        </w:tc>
      </w:tr>
    </w:tbl>
    <w:p w14:paraId="3820F103" w14:textId="77777777" w:rsidR="00E54FDB" w:rsidRDefault="00E54FD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60124654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3636DEA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32D1693A" w:rsidR="00E20BD3" w:rsidRPr="00B10D77" w:rsidRDefault="00B10D77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D77">
              <w:rPr>
                <w:rFonts w:ascii="Times New Roman" w:hAnsi="Times New Roman"/>
                <w:sz w:val="24"/>
                <w:szCs w:val="24"/>
                <w:lang w:eastAsia="ro-RO"/>
              </w:rPr>
              <w:t>dotarea sălii de curs cu tablă, ecran de proiecție, videoproiector, laptop/computer, markere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06F8882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2E33B9A2" w:rsidR="00D31C96" w:rsidRPr="00B10D77" w:rsidRDefault="00B10D77" w:rsidP="000B3BD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77">
              <w:rPr>
                <w:rFonts w:ascii="Times New Roman" w:hAnsi="Times New Roman"/>
                <w:sz w:val="24"/>
                <w:szCs w:val="24"/>
                <w:lang w:eastAsia="ro-RO"/>
              </w:rPr>
              <w:t>dotarea sălii de curs cu tablă / flip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-</w:t>
            </w:r>
            <w:r w:rsidRPr="00B10D77">
              <w:rPr>
                <w:rFonts w:ascii="Times New Roman" w:hAnsi="Times New Roman"/>
                <w:sz w:val="24"/>
                <w:szCs w:val="24"/>
                <w:lang w:eastAsia="ro-RO"/>
              </w:rPr>
              <w:t>chart, ecran de proiecție,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r w:rsidRPr="00B10D77">
              <w:rPr>
                <w:rFonts w:ascii="Times New Roman" w:hAnsi="Times New Roman"/>
                <w:sz w:val="24"/>
                <w:szCs w:val="24"/>
                <w:lang w:eastAsia="ro-RO"/>
              </w:rPr>
              <w:t>videoproiector, laptop/computer, markere</w:t>
            </w:r>
          </w:p>
        </w:tc>
      </w:tr>
    </w:tbl>
    <w:p w14:paraId="4A5CAAD3" w14:textId="77777777" w:rsidR="00E54FDB" w:rsidRDefault="00E54FDB" w:rsidP="00D6162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AE89E1" w14:textId="3D06D66B" w:rsidR="00CC6774" w:rsidRDefault="00D31C96" w:rsidP="00D6162F">
      <w:pPr>
        <w:spacing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</w:p>
    <w:p w14:paraId="4D59EA1B" w14:textId="58B7FA60" w:rsidR="00E20BD3" w:rsidRPr="00D6162F" w:rsidRDefault="00683986" w:rsidP="00D6162F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</w:rPr>
        <w:tab/>
      </w:r>
      <w:r w:rsidR="00E20BD3" w:rsidRPr="00B10D77"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>
        <w:rPr>
          <w:rFonts w:ascii="Times New Roman" w:hAnsi="Times New Roman"/>
          <w:sz w:val="24"/>
          <w:szCs w:val="24"/>
        </w:rPr>
        <w:t>Ș</w:t>
      </w:r>
      <w:r w:rsidR="00B10D77" w:rsidRPr="00B10D77">
        <w:rPr>
          <w:rFonts w:ascii="Times New Roman" w:hAnsi="Times New Roman"/>
          <w:sz w:val="24"/>
          <w:szCs w:val="24"/>
        </w:rPr>
        <w:t xml:space="preserve">tiințele </w:t>
      </w:r>
      <w:r>
        <w:rPr>
          <w:rFonts w:ascii="Times New Roman" w:hAnsi="Times New Roman"/>
          <w:sz w:val="24"/>
          <w:szCs w:val="24"/>
        </w:rPr>
        <w:t>E</w:t>
      </w:r>
      <w:r w:rsidR="00B10D77" w:rsidRPr="00B10D77">
        <w:rPr>
          <w:rFonts w:ascii="Times New Roman" w:hAnsi="Times New Roman"/>
          <w:sz w:val="24"/>
          <w:szCs w:val="24"/>
        </w:rPr>
        <w:t>ducației</w:t>
      </w:r>
      <w:r w:rsidR="00E20BD3" w:rsidRPr="00B10D77">
        <w:rPr>
          <w:rFonts w:ascii="Times New Roman" w:hAnsi="Times New Roman"/>
          <w:sz w:val="24"/>
          <w:szCs w:val="24"/>
        </w:rPr>
        <w:t xml:space="preserve"> /</w:t>
      </w:r>
      <w:r w:rsidR="00B10D77" w:rsidRPr="00B10D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="00E20BD3" w:rsidRPr="00B10D77">
        <w:rPr>
          <w:rFonts w:ascii="Times New Roman" w:hAnsi="Times New Roman"/>
          <w:sz w:val="24"/>
          <w:szCs w:val="24"/>
        </w:rPr>
        <w:t>pecializ</w:t>
      </w:r>
      <w:r w:rsidR="00B10D77" w:rsidRPr="00B10D77">
        <w:rPr>
          <w:rFonts w:ascii="Times New Roman" w:hAnsi="Times New Roman"/>
          <w:sz w:val="24"/>
          <w:szCs w:val="24"/>
        </w:rPr>
        <w:t>a</w:t>
      </w:r>
      <w:r w:rsidR="00E20BD3" w:rsidRPr="00B10D77">
        <w:rPr>
          <w:rFonts w:ascii="Times New Roman" w:hAnsi="Times New Roman"/>
          <w:sz w:val="24"/>
          <w:szCs w:val="24"/>
        </w:rPr>
        <w:t>r</w:t>
      </w:r>
      <w:r w:rsidR="00B10D77" w:rsidRPr="00B10D77">
        <w:rPr>
          <w:rFonts w:ascii="Times New Roman" w:hAnsi="Times New Roman"/>
          <w:sz w:val="24"/>
          <w:szCs w:val="24"/>
        </w:rPr>
        <w:t>ea</w:t>
      </w:r>
      <w:r w:rsidR="00E20BD3" w:rsidRPr="00B10D77">
        <w:rPr>
          <w:rFonts w:ascii="Times New Roman" w:hAnsi="Times New Roman"/>
          <w:sz w:val="24"/>
          <w:szCs w:val="24"/>
        </w:rPr>
        <w:t xml:space="preserve"> </w:t>
      </w:r>
      <w:r w:rsidR="00B10D77" w:rsidRPr="00B10D77">
        <w:rPr>
          <w:rFonts w:ascii="Times New Roman" w:eastAsia="Calibri" w:hAnsi="Times New Roman"/>
          <w:sz w:val="24"/>
          <w:szCs w:val="24"/>
          <w:lang w:eastAsia="ro-RO"/>
        </w:rPr>
        <w:t xml:space="preserve">Pedagogia </w:t>
      </w:r>
      <w:r>
        <w:rPr>
          <w:rFonts w:ascii="Times New Roman" w:eastAsia="Calibri" w:hAnsi="Times New Roman"/>
          <w:sz w:val="24"/>
          <w:szCs w:val="24"/>
          <w:lang w:eastAsia="ro-RO"/>
        </w:rPr>
        <w:t>Î</w:t>
      </w:r>
      <w:r w:rsidR="00B10D77" w:rsidRPr="00B10D77">
        <w:rPr>
          <w:rFonts w:ascii="Times New Roman" w:eastAsia="Calibri" w:hAnsi="Times New Roman"/>
          <w:sz w:val="24"/>
          <w:szCs w:val="24"/>
          <w:lang w:eastAsia="ro-RO"/>
        </w:rPr>
        <w:t xml:space="preserve">nvățământului </w:t>
      </w:r>
      <w:r>
        <w:rPr>
          <w:rFonts w:ascii="Times New Roman" w:eastAsia="Calibri" w:hAnsi="Times New Roman"/>
          <w:sz w:val="24"/>
          <w:szCs w:val="24"/>
          <w:lang w:eastAsia="ro-RO"/>
        </w:rPr>
        <w:t>P</w:t>
      </w:r>
      <w:r w:rsidR="00B10D77" w:rsidRPr="00B10D77">
        <w:rPr>
          <w:rFonts w:ascii="Times New Roman" w:eastAsia="Calibri" w:hAnsi="Times New Roman"/>
          <w:sz w:val="24"/>
          <w:szCs w:val="24"/>
          <w:lang w:eastAsia="ro-RO"/>
        </w:rPr>
        <w:t xml:space="preserve">rimar și </w:t>
      </w:r>
      <w:r>
        <w:rPr>
          <w:rFonts w:ascii="Times New Roman" w:eastAsia="Calibri" w:hAnsi="Times New Roman"/>
          <w:sz w:val="24"/>
          <w:szCs w:val="24"/>
          <w:lang w:eastAsia="ro-RO"/>
        </w:rPr>
        <w:t>P</w:t>
      </w:r>
      <w:r w:rsidR="00B10D77" w:rsidRPr="00B10D77">
        <w:rPr>
          <w:rFonts w:ascii="Times New Roman" w:eastAsia="Calibri" w:hAnsi="Times New Roman"/>
          <w:sz w:val="24"/>
          <w:szCs w:val="24"/>
          <w:lang w:eastAsia="ro-RO"/>
        </w:rPr>
        <w:t xml:space="preserve">reșcolar/ </w:t>
      </w:r>
      <w:r>
        <w:rPr>
          <w:rFonts w:ascii="Times New Roman" w:eastAsia="Calibri" w:hAnsi="Times New Roman"/>
          <w:sz w:val="24"/>
          <w:szCs w:val="24"/>
          <w:lang w:eastAsia="ro-RO"/>
        </w:rPr>
        <w:t>P</w:t>
      </w:r>
      <w:r w:rsidR="00B10D77" w:rsidRPr="00B10D77">
        <w:rPr>
          <w:rFonts w:ascii="Times New Roman" w:eastAsia="Calibri" w:hAnsi="Times New Roman"/>
          <w:sz w:val="24"/>
          <w:szCs w:val="24"/>
          <w:lang w:eastAsia="ro-RO"/>
        </w:rPr>
        <w:t xml:space="preserve">rofesor în învățământul preșcolar </w:t>
      </w:r>
      <w:r>
        <w:rPr>
          <w:rFonts w:ascii="Times New Roman" w:eastAsia="Calibri" w:hAnsi="Times New Roman"/>
          <w:sz w:val="24"/>
          <w:szCs w:val="24"/>
          <w:lang w:eastAsia="ro-RO"/>
        </w:rPr>
        <w:t>- P</w:t>
      </w:r>
      <w:r w:rsidR="00B10D77" w:rsidRPr="00B10D77">
        <w:rPr>
          <w:rFonts w:ascii="Times New Roman" w:eastAsia="Calibri" w:hAnsi="Times New Roman"/>
          <w:sz w:val="24"/>
          <w:szCs w:val="24"/>
          <w:lang w:eastAsia="ro-RO"/>
        </w:rPr>
        <w:t>rofesor în învățământul primar</w:t>
      </w:r>
      <w:r w:rsidR="00E20BD3" w:rsidRPr="00B10D77">
        <w:rPr>
          <w:rFonts w:ascii="Times New Roman" w:hAnsi="Times New Roman"/>
          <w:sz w:val="24"/>
          <w:szCs w:val="24"/>
        </w:rPr>
        <w:t xml:space="preserve"> și își propune să familiarizeze </w:t>
      </w:r>
      <w:r w:rsidR="00E20BD3" w:rsidRPr="00D6162F">
        <w:rPr>
          <w:rFonts w:ascii="Times New Roman" w:hAnsi="Times New Roman"/>
          <w:sz w:val="24"/>
          <w:szCs w:val="24"/>
        </w:rPr>
        <w:t xml:space="preserve">studenții cu </w:t>
      </w:r>
      <w:r w:rsidR="00B10D77" w:rsidRPr="00D6162F">
        <w:rPr>
          <w:rFonts w:ascii="Times New Roman" w:eastAsia="TimesNewRoman" w:hAnsi="Times New Roman"/>
          <w:sz w:val="24"/>
          <w:szCs w:val="24"/>
        </w:rPr>
        <w:t>analiza critică a discursului si textului argumentativ, în clarificarea noțiunilor si problemelor referitoare la diversele structuri, strategii si tehnici de argumentare.</w:t>
      </w:r>
      <w:r w:rsidR="00D6162F" w:rsidRPr="00D6162F">
        <w:rPr>
          <w:rFonts w:ascii="Times New Roman" w:eastAsia="Calibri" w:hAnsi="Times New Roman"/>
          <w:b/>
          <w:sz w:val="24"/>
          <w:szCs w:val="24"/>
          <w:lang w:eastAsia="ro-RO"/>
        </w:rPr>
        <w:t xml:space="preserve"> </w:t>
      </w:r>
      <w:r w:rsidR="00B10D77" w:rsidRPr="00D6162F">
        <w:rPr>
          <w:rFonts w:ascii="Times New Roman" w:hAnsi="Times New Roman"/>
          <w:color w:val="000000" w:themeColor="text1"/>
          <w:sz w:val="24"/>
          <w:szCs w:val="24"/>
        </w:rPr>
        <w:t xml:space="preserve">Sunt prezentate </w:t>
      </w:r>
      <w:r w:rsidR="00E20BD3" w:rsidRPr="00D6162F">
        <w:rPr>
          <w:rFonts w:ascii="Times New Roman" w:hAnsi="Times New Roman"/>
          <w:color w:val="000000" w:themeColor="text1"/>
          <w:sz w:val="24"/>
          <w:szCs w:val="24"/>
        </w:rPr>
        <w:t>principalele abordări, modele și teorii explicative ale domeniului,</w:t>
      </w:r>
      <w:r w:rsidR="00E20BD3" w:rsidRPr="00D6162F">
        <w:rPr>
          <w:rFonts w:ascii="Times New Roman" w:hAnsi="Times New Roman"/>
          <w:sz w:val="24"/>
          <w:szCs w:val="24"/>
        </w:rPr>
        <w:t xml:space="preserve"> utilizate în rezolvarea de aplicații practice și probleme, cu relevanță pentru stimularea procesului de învățare la studenți</w:t>
      </w:r>
      <w:r w:rsidR="00E20BD3" w:rsidRPr="00D6162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30DDF85" w14:textId="489A0B80" w:rsidR="009B0688" w:rsidRDefault="00323BAF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162F">
        <w:rPr>
          <w:rFonts w:ascii="Times New Roman" w:hAnsi="Times New Roman"/>
          <w:sz w:val="24"/>
          <w:szCs w:val="24"/>
        </w:rPr>
        <w:t>Disciplina</w:t>
      </w:r>
      <w:r w:rsidR="00B97DD5" w:rsidRPr="00D6162F">
        <w:rPr>
          <w:rFonts w:ascii="Times New Roman" w:hAnsi="Times New Roman"/>
          <w:sz w:val="24"/>
          <w:szCs w:val="24"/>
        </w:rPr>
        <w:t xml:space="preserve"> </w:t>
      </w:r>
      <w:r w:rsidR="00D27F89" w:rsidRPr="00D6162F">
        <w:rPr>
          <w:rFonts w:ascii="Times New Roman" w:hAnsi="Times New Roman"/>
          <w:sz w:val="24"/>
          <w:szCs w:val="24"/>
        </w:rPr>
        <w:t xml:space="preserve">abordează </w:t>
      </w:r>
      <w:r w:rsidR="00683986">
        <w:rPr>
          <w:rFonts w:ascii="Times New Roman" w:hAnsi="Times New Roman"/>
          <w:sz w:val="24"/>
          <w:szCs w:val="24"/>
        </w:rPr>
        <w:t xml:space="preserve">- </w:t>
      </w:r>
      <w:r w:rsidR="00D27F89" w:rsidRPr="00D6162F">
        <w:rPr>
          <w:rFonts w:ascii="Times New Roman" w:hAnsi="Times New Roman"/>
          <w:sz w:val="24"/>
          <w:szCs w:val="24"/>
        </w:rPr>
        <w:t>ca tematică specifică</w:t>
      </w:r>
      <w:r w:rsidR="00683986">
        <w:rPr>
          <w:rFonts w:ascii="Times New Roman" w:hAnsi="Times New Roman"/>
          <w:sz w:val="24"/>
          <w:szCs w:val="24"/>
        </w:rPr>
        <w:t xml:space="preserve"> -</w:t>
      </w:r>
      <w:r w:rsidRPr="00D6162F">
        <w:rPr>
          <w:rFonts w:ascii="Times New Roman" w:hAnsi="Times New Roman"/>
          <w:sz w:val="24"/>
          <w:szCs w:val="24"/>
        </w:rPr>
        <w:t xml:space="preserve"> </w:t>
      </w:r>
      <w:r w:rsidR="003B55E2" w:rsidRPr="00D6162F">
        <w:rPr>
          <w:rFonts w:ascii="Times New Roman" w:hAnsi="Times New Roman"/>
          <w:sz w:val="24"/>
          <w:szCs w:val="24"/>
        </w:rPr>
        <w:t>noțiuni de bază, concepte și principii specifice</w:t>
      </w:r>
      <w:r w:rsidR="00D6162F" w:rsidRPr="00D6162F">
        <w:rPr>
          <w:rFonts w:ascii="Times New Roman" w:hAnsi="Times New Roman"/>
          <w:sz w:val="24"/>
          <w:szCs w:val="24"/>
        </w:rPr>
        <w:t xml:space="preserve"> referitoare la argumentarea în procesul de comunicare,</w:t>
      </w:r>
      <w:r w:rsidRPr="00D6162F">
        <w:rPr>
          <w:rFonts w:ascii="Times New Roman" w:hAnsi="Times New Roman"/>
          <w:sz w:val="24"/>
          <w:szCs w:val="24"/>
        </w:rPr>
        <w:t xml:space="preserve"> toate acestea contribuind la transmiterea</w:t>
      </w:r>
      <w:r w:rsidR="00D6162F" w:rsidRPr="00D6162F">
        <w:rPr>
          <w:rFonts w:ascii="Times New Roman" w:hAnsi="Times New Roman"/>
          <w:sz w:val="24"/>
          <w:szCs w:val="24"/>
        </w:rPr>
        <w:t xml:space="preserve">, respectiv </w:t>
      </w:r>
      <w:r w:rsidRPr="00D6162F">
        <w:rPr>
          <w:rFonts w:ascii="Times New Roman" w:hAnsi="Times New Roman"/>
          <w:sz w:val="24"/>
          <w:szCs w:val="24"/>
        </w:rPr>
        <w:t xml:space="preserve">formarea la studenți a unei viziuni de ansamblu asupra </w:t>
      </w:r>
      <w:r w:rsidR="002C7828" w:rsidRPr="00D6162F">
        <w:rPr>
          <w:rFonts w:ascii="Times New Roman" w:hAnsi="Times New Roman"/>
          <w:sz w:val="24"/>
          <w:szCs w:val="24"/>
        </w:rPr>
        <w:t>reperelor metodologice și procedurale aferente domeniului</w:t>
      </w:r>
      <w:r w:rsidR="00B97DD5" w:rsidRPr="00D6162F">
        <w:rPr>
          <w:rFonts w:ascii="Times New Roman" w:hAnsi="Times New Roman"/>
          <w:sz w:val="24"/>
          <w:szCs w:val="24"/>
        </w:rPr>
        <w:t xml:space="preserve">. </w:t>
      </w:r>
      <w:bookmarkStart w:id="0" w:name="_Hlk139278969"/>
    </w:p>
    <w:bookmarkEnd w:id="0"/>
    <w:p w14:paraId="581229AD" w14:textId="20CBA343" w:rsidR="0091383B" w:rsidRDefault="00912246" w:rsidP="00D277F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0B3BD0"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08FB6D7A" w14:textId="77777777" w:rsidR="00912246" w:rsidRPr="004B7291" w:rsidRDefault="00912246" w:rsidP="00912246">
      <w:pPr>
        <w:pStyle w:val="Frspaiere"/>
        <w:jc w:val="both"/>
        <w:rPr>
          <w:rFonts w:ascii="Times New Roman" w:hAnsi="Times New Roman"/>
          <w:sz w:val="24"/>
          <w:szCs w:val="24"/>
        </w:rPr>
      </w:pPr>
      <w:r w:rsidRPr="004B7291">
        <w:rPr>
          <w:rFonts w:ascii="Times New Roman" w:hAnsi="Times New Roman"/>
          <w:sz w:val="24"/>
          <w:szCs w:val="24"/>
        </w:rPr>
        <w:t>1.Proiectarea unor programe de instruire sau educaționale adaptate pentru diverse niveluri de vârstă/pregătire și diverse grupuri țintă</w:t>
      </w:r>
    </w:p>
    <w:p w14:paraId="30A39FE3" w14:textId="77777777" w:rsidR="00912246" w:rsidRPr="004B7291" w:rsidRDefault="00912246" w:rsidP="00912246">
      <w:pPr>
        <w:pStyle w:val="Frspaiere"/>
        <w:jc w:val="both"/>
        <w:rPr>
          <w:rFonts w:ascii="Times New Roman" w:hAnsi="Times New Roman"/>
          <w:sz w:val="24"/>
          <w:szCs w:val="24"/>
        </w:rPr>
      </w:pPr>
      <w:r w:rsidRPr="004B7291">
        <w:rPr>
          <w:rFonts w:ascii="Times New Roman" w:hAnsi="Times New Roman"/>
          <w:sz w:val="24"/>
          <w:szCs w:val="24"/>
        </w:rPr>
        <w:t>2.Realizarea activităților specifice procesului instructiv-educativ din învățământul primar și preșcolar</w:t>
      </w:r>
    </w:p>
    <w:p w14:paraId="103994A5" w14:textId="77777777" w:rsidR="00912246" w:rsidRPr="004B7291" w:rsidRDefault="00912246" w:rsidP="00912246">
      <w:pPr>
        <w:pStyle w:val="Frspaiere"/>
        <w:jc w:val="both"/>
        <w:rPr>
          <w:rFonts w:ascii="Times New Roman" w:hAnsi="Times New Roman"/>
          <w:color w:val="7F7F7F" w:themeColor="text1" w:themeTint="80"/>
          <w:sz w:val="24"/>
          <w:szCs w:val="24"/>
          <w:highlight w:val="yellow"/>
        </w:rPr>
      </w:pPr>
      <w:r w:rsidRPr="004B7291">
        <w:rPr>
          <w:rFonts w:ascii="Times New Roman" w:hAnsi="Times New Roman"/>
          <w:sz w:val="24"/>
          <w:szCs w:val="24"/>
        </w:rPr>
        <w:t>3.Evaluarea proceselor de învățare, a rezultatelor și a progresului înregistrat de preșcolari / școlarii mici</w:t>
      </w:r>
    </w:p>
    <w:p w14:paraId="3F4303F4" w14:textId="77777777" w:rsidR="00912246" w:rsidRPr="00912246" w:rsidRDefault="00912246" w:rsidP="00D277F5">
      <w:pPr>
        <w:spacing w:line="240" w:lineRule="auto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="00FD0711" w:rsidRPr="0007194F" w14:paraId="44888664" w14:textId="77777777" w:rsidTr="00E54FDB">
        <w:trPr>
          <w:cantSplit/>
          <w:trHeight w:val="1975"/>
        </w:trPr>
        <w:tc>
          <w:tcPr>
            <w:tcW w:w="991" w:type="dxa"/>
            <w:shd w:val="clear" w:color="auto" w:fill="auto"/>
            <w:textDirection w:val="btLr"/>
            <w:vAlign w:val="center"/>
          </w:tcPr>
          <w:p w14:paraId="621ABFCF" w14:textId="2C053F3B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5" w:type="dxa"/>
            <w:shd w:val="clear" w:color="auto" w:fill="auto"/>
          </w:tcPr>
          <w:p w14:paraId="7D5D3A39" w14:textId="46D89AB9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>Explică și compară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 concepte, teorii, modele psiho/pedagogice/metodice necesare pentru proiectarea programelor/activităților educaționale;</w:t>
            </w:r>
          </w:p>
          <w:p w14:paraId="7C8F9783" w14:textId="7EB4880A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Identifică 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>principii/modele de instruire (predare/învățare/evaluare) și le adaptează domeniului educațional (elevi/situații/contexte);</w:t>
            </w:r>
          </w:p>
          <w:p w14:paraId="2BB471B4" w14:textId="6ED3E9DB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Analizează 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>fenomenele educaționale/curriculumul școlar și relațiile dintre obiective-conținuturi-strategii-evaluare prin prisma teoriilor contemporane ale instruirii/învățării;</w:t>
            </w:r>
          </w:p>
          <w:p w14:paraId="6D6C9EC6" w14:textId="52BF6B12" w:rsidR="00E20BD3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Analizează și interpretează 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>cadrul legislativ/normativ și impactul asupra proiectării și evaluării programelor/activităților educaționale;</w:t>
            </w:r>
          </w:p>
          <w:p w14:paraId="52FF5190" w14:textId="147B7CC4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>Cunoaște și explică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 modul de aplicare a conceptelor psiho/peda/metodice fundamentale în implementarea curriculumului/activităților didactice;</w:t>
            </w:r>
          </w:p>
          <w:p w14:paraId="27E8F155" w14:textId="606E1BE8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>Descrie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 principii, modele, metode de corelare a activității de predare-învățare-evaluare în contextul curriculumului național;</w:t>
            </w:r>
          </w:p>
          <w:p w14:paraId="66C1F675" w14:textId="7B316FAA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>Argumentează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educațional;</w:t>
            </w:r>
          </w:p>
          <w:p w14:paraId="63151093" w14:textId="3295CB8A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>Cunoaște și explică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 caracteristicile evaluării educaționale și le corelează cu etapele de dezvoltare a copiilor/elevilor și cu obiectivele curriculare;</w:t>
            </w:r>
          </w:p>
          <w:p w14:paraId="3A29CB2B" w14:textId="37AE2D7F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>Identifică și explică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intervenție;</w:t>
            </w:r>
          </w:p>
          <w:p w14:paraId="373D44E3" w14:textId="49564EC2" w:rsidR="001973D7" w:rsidRPr="00912246" w:rsidRDefault="001973D7" w:rsidP="00912246">
            <w:pPr>
              <w:numPr>
                <w:ilvl w:val="0"/>
                <w:numId w:val="8"/>
              </w:numPr>
              <w:tabs>
                <w:tab w:val="clear" w:pos="641"/>
                <w:tab w:val="num" w:pos="309"/>
              </w:tabs>
              <w:spacing w:after="0" w:line="240" w:lineRule="auto"/>
              <w:ind w:left="309" w:hanging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246">
              <w:rPr>
                <w:rFonts w:ascii="Times New Roman" w:hAnsi="Times New Roman"/>
                <w:b/>
                <w:bCs/>
                <w:sz w:val="24"/>
                <w:szCs w:val="24"/>
              </w:rPr>
              <w:t>Descrie și compară</w:t>
            </w:r>
            <w:r w:rsidRPr="00912246">
              <w:rPr>
                <w:rFonts w:ascii="Times New Roman" w:hAnsi="Times New Roman"/>
                <w:sz w:val="24"/>
                <w:szCs w:val="24"/>
              </w:rPr>
              <w:t xml:space="preserve"> metode variate de (auto)evaluare utilizate în sistemul de învățământ;</w:t>
            </w:r>
          </w:p>
        </w:tc>
      </w:tr>
      <w:tr w:rsidR="00FD0711" w:rsidRPr="0007194F" w14:paraId="110936E3" w14:textId="77777777" w:rsidTr="00E54FDB">
        <w:trPr>
          <w:cantSplit/>
          <w:trHeight w:val="1775"/>
        </w:trPr>
        <w:tc>
          <w:tcPr>
            <w:tcW w:w="991" w:type="dxa"/>
            <w:shd w:val="clear" w:color="auto" w:fill="auto"/>
            <w:textDirection w:val="btLr"/>
            <w:vAlign w:val="center"/>
          </w:tcPr>
          <w:p w14:paraId="44988092" w14:textId="4D5F6FB0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65" w:type="dxa"/>
            <w:shd w:val="clear" w:color="auto" w:fill="auto"/>
          </w:tcPr>
          <w:p w14:paraId="70927039" w14:textId="77777777" w:rsidR="00912246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  <w:p w14:paraId="3CE84061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>Aplică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1126F7">
              <w:rPr>
                <w:rFonts w:ascii="Times New Roman" w:hAnsi="Times New Roman"/>
                <w:color w:val="000000"/>
              </w:rPr>
              <w:t>norme/principii psiho/pedagogice/metodice în proiectarea programelor/activităților adaptate copiilor/elevilor/contextelor educaționale;</w:t>
            </w:r>
          </w:p>
          <w:p w14:paraId="34FAA4E0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Elaborează </w:t>
            </w:r>
            <w:r w:rsidRPr="001126F7">
              <w:rPr>
                <w:rFonts w:ascii="Times New Roman" w:hAnsi="Times New Roman"/>
                <w:color w:val="000000"/>
              </w:rPr>
              <w:t>programe/proiecte de activitate diferențiate și adaptate utilizând resurse variate;</w:t>
            </w:r>
          </w:p>
          <w:p w14:paraId="0E9404D6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Identifică </w:t>
            </w:r>
            <w:r w:rsidRPr="001126F7">
              <w:rPr>
                <w:rFonts w:ascii="Times New Roman" w:hAnsi="Times New Roman"/>
                <w:color w:val="000000"/>
              </w:rPr>
              <w:t>nivelul achizițiilor elevilor utilizând metode adecvate și proiectează programe/activități adaptate/individualizate/personalizate;</w:t>
            </w:r>
          </w:p>
          <w:p w14:paraId="5F8A48F4" w14:textId="77777777" w:rsidR="00912246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Integrează </w:t>
            </w:r>
            <w:r w:rsidRPr="001126F7">
              <w:rPr>
                <w:rFonts w:ascii="Times New Roman" w:hAnsi="Times New Roman"/>
                <w:color w:val="000000"/>
              </w:rPr>
              <w:t>resurse și contexte variate cu noile tehnologii pentru diversificarea/extinderea experiențelor educaționale pentru copii/elevi;</w:t>
            </w:r>
          </w:p>
          <w:p w14:paraId="571D8FDB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  <w:p w14:paraId="2424AEE2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Utilizează conceptele </w:t>
            </w:r>
            <w:r w:rsidRPr="001126F7">
              <w:rPr>
                <w:rFonts w:ascii="Times New Roman" w:hAnsi="Times New Roman"/>
                <w:color w:val="000000"/>
              </w:rPr>
              <w:t>fundamentale specifice în implementarea activităților cu copiii/elevii;</w:t>
            </w:r>
          </w:p>
          <w:p w14:paraId="2E55E447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Aplică strategii </w:t>
            </w:r>
            <w:r w:rsidRPr="001126F7">
              <w:rPr>
                <w:rFonts w:ascii="Times New Roman" w:hAnsi="Times New Roman"/>
                <w:color w:val="000000"/>
              </w:rPr>
              <w:t>didactice diferențiate respectând principiile proiectării curriculare;</w:t>
            </w:r>
          </w:p>
          <w:p w14:paraId="302338E8" w14:textId="77777777" w:rsidR="00912246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Utilizează </w:t>
            </w:r>
            <w:r w:rsidRPr="001126F7">
              <w:rPr>
                <w:rFonts w:ascii="Times New Roman" w:hAnsi="Times New Roman"/>
                <w:color w:val="000000"/>
              </w:rPr>
              <w:t>în mod creativ metode și mijloace didactice pentru o învățare eficientă;</w:t>
            </w:r>
          </w:p>
          <w:p w14:paraId="524AF033" w14:textId="77777777" w:rsidR="00912246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  <w:p w14:paraId="1FEDBF27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Utilizează </w:t>
            </w:r>
            <w:r w:rsidRPr="001126F7">
              <w:rPr>
                <w:rFonts w:ascii="Times New Roman" w:hAnsi="Times New Roman"/>
                <w:color w:val="000000"/>
              </w:rPr>
              <w:t>adecvat metode și instrumente de evaluare adaptate particularităților psiho-individuale ale copiilor/elevilor;</w:t>
            </w:r>
          </w:p>
          <w:p w14:paraId="7ECB00D9" w14:textId="77777777" w:rsidR="00912246" w:rsidRPr="001126F7" w:rsidRDefault="00912246" w:rsidP="00912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Evaluează </w:t>
            </w:r>
            <w:r w:rsidRPr="001126F7">
              <w:rPr>
                <w:rFonts w:ascii="Times New Roman" w:hAnsi="Times New Roman"/>
                <w:color w:val="000000"/>
              </w:rPr>
              <w:t>progresul în învățare ale copiilor/elevilor și elaborează modele de interpretare a rezultatelor;</w:t>
            </w:r>
          </w:p>
          <w:p w14:paraId="29893D81" w14:textId="22185EF7" w:rsidR="00241E04" w:rsidRPr="00912246" w:rsidRDefault="00912246" w:rsidP="00912246">
            <w:pPr>
              <w:pStyle w:val="Style1"/>
              <w:rPr>
                <w:rFonts w:ascii="Times New Roman" w:hAnsi="Times New Roman"/>
                <w:highlight w:val="yellow"/>
                <w:lang w:val="ro-RO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proofErr w:type="spellStart"/>
            <w:r w:rsidRPr="001126F7">
              <w:rPr>
                <w:rFonts w:ascii="Times New Roman" w:hAnsi="Times New Roman"/>
                <w:b/>
                <w:bCs/>
                <w:color w:val="000000"/>
              </w:rPr>
              <w:t>Aplică</w:t>
            </w:r>
            <w:proofErr w:type="spellEnd"/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126F7">
              <w:rPr>
                <w:rFonts w:ascii="Times New Roman" w:hAnsi="Times New Roman"/>
                <w:b/>
                <w:bCs/>
                <w:color w:val="000000"/>
              </w:rPr>
              <w:t>în</w:t>
            </w:r>
            <w:proofErr w:type="spellEnd"/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 mod </w:t>
            </w:r>
            <w:proofErr w:type="spellStart"/>
            <w:r w:rsidRPr="001126F7">
              <w:rPr>
                <w:rFonts w:ascii="Times New Roman" w:hAnsi="Times New Roman"/>
                <w:b/>
                <w:bCs/>
                <w:color w:val="000000"/>
              </w:rPr>
              <w:t>creativ</w:t>
            </w:r>
            <w:proofErr w:type="spellEnd"/>
            <w:r w:rsidRPr="001126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1126F7">
              <w:rPr>
                <w:rFonts w:ascii="Times New Roman" w:hAnsi="Times New Roman"/>
                <w:color w:val="000000"/>
              </w:rPr>
              <w:t xml:space="preserve">diverse </w:t>
            </w:r>
            <w:proofErr w:type="spellStart"/>
            <w:r w:rsidRPr="001126F7">
              <w:rPr>
                <w:rFonts w:ascii="Times New Roman" w:hAnsi="Times New Roman"/>
                <w:color w:val="000000"/>
              </w:rPr>
              <w:t>modele</w:t>
            </w:r>
            <w:proofErr w:type="spellEnd"/>
            <w:r w:rsidRPr="001126F7">
              <w:rPr>
                <w:rFonts w:ascii="Times New Roman" w:hAnsi="Times New Roman"/>
                <w:color w:val="000000"/>
              </w:rPr>
              <w:t xml:space="preserve"> de </w:t>
            </w:r>
            <w:proofErr w:type="spellStart"/>
            <w:r w:rsidRPr="001126F7">
              <w:rPr>
                <w:rFonts w:ascii="Times New Roman" w:hAnsi="Times New Roman"/>
                <w:color w:val="000000"/>
              </w:rPr>
              <w:t>evaluare</w:t>
            </w:r>
            <w:proofErr w:type="spellEnd"/>
            <w:r w:rsidRPr="001126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26F7">
              <w:rPr>
                <w:rFonts w:ascii="Times New Roman" w:hAnsi="Times New Roman"/>
                <w:color w:val="000000"/>
              </w:rPr>
              <w:t>integrându</w:t>
            </w:r>
            <w:proofErr w:type="spellEnd"/>
            <w:r w:rsidRPr="001126F7">
              <w:rPr>
                <w:rFonts w:ascii="Times New Roman" w:hAnsi="Times New Roman"/>
                <w:color w:val="000000"/>
              </w:rPr>
              <w:t xml:space="preserve">-le strategic </w:t>
            </w:r>
            <w:proofErr w:type="spellStart"/>
            <w:r w:rsidRPr="001126F7">
              <w:rPr>
                <w:rFonts w:ascii="Times New Roman" w:hAnsi="Times New Roman"/>
                <w:color w:val="000000"/>
              </w:rPr>
              <w:t>în</w:t>
            </w:r>
            <w:proofErr w:type="spellEnd"/>
            <w:r w:rsidRPr="001126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26F7">
              <w:rPr>
                <w:rFonts w:ascii="Times New Roman" w:hAnsi="Times New Roman"/>
                <w:color w:val="000000"/>
              </w:rPr>
              <w:t>activitatea</w:t>
            </w:r>
            <w:proofErr w:type="spellEnd"/>
            <w:r w:rsidRPr="001126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26F7">
              <w:rPr>
                <w:rFonts w:ascii="Times New Roman" w:hAnsi="Times New Roman"/>
                <w:color w:val="000000"/>
              </w:rPr>
              <w:t>didactică</w:t>
            </w:r>
            <w:proofErr w:type="spellEnd"/>
            <w:r w:rsidRPr="001126F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E54FDB" w:rsidRPr="0007194F" w14:paraId="22C94215" w14:textId="77777777" w:rsidTr="00E54FDB">
        <w:trPr>
          <w:cantSplit/>
          <w:trHeight w:val="2329"/>
        </w:trPr>
        <w:tc>
          <w:tcPr>
            <w:tcW w:w="991" w:type="dxa"/>
            <w:shd w:val="clear" w:color="auto" w:fill="auto"/>
            <w:textDirection w:val="btLr"/>
            <w:vAlign w:val="center"/>
          </w:tcPr>
          <w:p w14:paraId="6A44056B" w14:textId="4960B864" w:rsidR="00E54FDB" w:rsidRDefault="00E54FDB" w:rsidP="00E54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Responsabilitate și autonomie</w:t>
            </w:r>
          </w:p>
        </w:tc>
        <w:tc>
          <w:tcPr>
            <w:tcW w:w="9465" w:type="dxa"/>
            <w:shd w:val="clear" w:color="auto" w:fill="auto"/>
          </w:tcPr>
          <w:p w14:paraId="45824193" w14:textId="77777777" w:rsidR="00E54FDB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  <w:p w14:paraId="311A739A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Utilizează autonom și responsabil </w:t>
            </w:r>
            <w:r w:rsidRPr="00E7532C">
              <w:rPr>
                <w:rFonts w:ascii="Times New Roman" w:hAnsi="Times New Roman"/>
                <w:color w:val="000000"/>
              </w:rPr>
              <w:t>obiective/norme/metodologii în proiectarea/implementarea programelor/activităților educaționale;</w:t>
            </w:r>
          </w:p>
          <w:p w14:paraId="5ED1B48F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Își asumă responsabilitatea </w:t>
            </w:r>
            <w:r w:rsidRPr="00E7532C">
              <w:rPr>
                <w:rFonts w:ascii="Times New Roman" w:hAnsi="Times New Roman"/>
                <w:color w:val="000000"/>
              </w:rPr>
              <w:t>deciziilor și abordează autonom/independent și critic/creativ complexitatea situațiilor educaționale;</w:t>
            </w:r>
          </w:p>
          <w:p w14:paraId="2E08B515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‣ 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Propune </w:t>
            </w:r>
            <w:r w:rsidRPr="00E7532C">
              <w:rPr>
                <w:rFonts w:ascii="Times New Roman" w:hAnsi="Times New Roman"/>
                <w:color w:val="000000"/>
              </w:rPr>
              <w:t>și implementează soluții adaptate dovedind responsabilitate pentru progresul/reușita elevilor;</w:t>
            </w:r>
          </w:p>
          <w:p w14:paraId="1F17A605" w14:textId="77777777" w:rsidR="00E54FDB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Demonstrează autonomie și responsabilitate </w:t>
            </w:r>
            <w:r w:rsidRPr="00E7532C">
              <w:rPr>
                <w:rFonts w:ascii="Times New Roman" w:hAnsi="Times New Roman"/>
                <w:color w:val="000000"/>
              </w:rPr>
              <w:t>în inițierea, implementarea și evaluarea de programe/proiecte/activități în comunitate;</w:t>
            </w:r>
          </w:p>
          <w:p w14:paraId="6948DAEA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  <w:p w14:paraId="2B033FB1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Adoptă în mod autonom </w:t>
            </w:r>
            <w:r w:rsidRPr="00E7532C">
              <w:rPr>
                <w:rFonts w:ascii="Times New Roman" w:hAnsi="Times New Roman"/>
                <w:color w:val="000000"/>
              </w:rPr>
              <w:t>standardele/modelele curriculare în activități educaționale eficiente adaptate/diferențiate/personalizate;</w:t>
            </w:r>
          </w:p>
          <w:p w14:paraId="36AF265E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Își asumă responsabilitatea deciziilor </w:t>
            </w:r>
            <w:r w:rsidRPr="00E7532C">
              <w:rPr>
                <w:rFonts w:ascii="Times New Roman" w:hAnsi="Times New Roman"/>
                <w:color w:val="000000"/>
              </w:rPr>
              <w:t>pedagogice demonstrând capacitate de optimizare continuă;</w:t>
            </w:r>
          </w:p>
          <w:p w14:paraId="785FBF68" w14:textId="77777777" w:rsidR="00E54FDB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Integrează </w:t>
            </w:r>
            <w:r w:rsidRPr="00E7532C">
              <w:rPr>
                <w:rFonts w:ascii="Times New Roman" w:hAnsi="Times New Roman"/>
                <w:color w:val="000000"/>
              </w:rPr>
              <w:t xml:space="preserve">în mod consecvent și 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autonom </w:t>
            </w:r>
            <w:r w:rsidRPr="00E7532C">
              <w:rPr>
                <w:rFonts w:ascii="Times New Roman" w:hAnsi="Times New Roman"/>
                <w:color w:val="000000"/>
              </w:rPr>
              <w:t>abordări didactice și tehnologii educaționale inovatoare pentru formarea/dezvoltarea competențelor cheie;</w:t>
            </w:r>
          </w:p>
          <w:p w14:paraId="0C3F0221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  <w:p w14:paraId="68415D84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Adoptă autonom </w:t>
            </w:r>
            <w:r w:rsidRPr="00E7532C">
              <w:rPr>
                <w:rFonts w:ascii="Times New Roman" w:hAnsi="Times New Roman"/>
                <w:color w:val="000000"/>
              </w:rPr>
              <w:t xml:space="preserve">și 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responsabil </w:t>
            </w:r>
            <w:r w:rsidRPr="00E7532C">
              <w:rPr>
                <w:rFonts w:ascii="Times New Roman" w:hAnsi="Times New Roman"/>
                <w:color w:val="000000"/>
              </w:rPr>
              <w:t>standardele curriculare și normele de evaluare luând utilizând rezultatele pentru luarea de decizii ameliorative adecvate;</w:t>
            </w:r>
          </w:p>
          <w:p w14:paraId="2EAD6D44" w14:textId="77777777" w:rsidR="00E54FDB" w:rsidRPr="00E7532C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Valorifică </w:t>
            </w:r>
            <w:r w:rsidRPr="00E7532C">
              <w:rPr>
                <w:rFonts w:ascii="Times New Roman" w:hAnsi="Times New Roman"/>
                <w:color w:val="000000"/>
              </w:rPr>
              <w:t xml:space="preserve">rezultatele evaluărilor și propune 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independent </w:t>
            </w:r>
            <w:r w:rsidRPr="00E7532C">
              <w:rPr>
                <w:rFonts w:ascii="Times New Roman" w:hAnsi="Times New Roman"/>
                <w:color w:val="000000"/>
              </w:rPr>
              <w:t>și responsabil strategii de intervenție adaptate/personalizate;</w:t>
            </w:r>
          </w:p>
          <w:p w14:paraId="4E90C458" w14:textId="4E459B26" w:rsidR="00E54FDB" w:rsidRPr="00E54FDB" w:rsidRDefault="00E54FDB" w:rsidP="00E54F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‣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Realizează evaluarea </w:t>
            </w:r>
            <w:r w:rsidRPr="00E7532C">
              <w:rPr>
                <w:rFonts w:ascii="Times New Roman" w:hAnsi="Times New Roman"/>
                <w:color w:val="000000"/>
              </w:rPr>
              <w:t xml:space="preserve">copiilor/elevilor manifestând </w:t>
            </w:r>
            <w:r w:rsidRPr="00E7532C">
              <w:rPr>
                <w:rFonts w:ascii="Times New Roman" w:hAnsi="Times New Roman"/>
                <w:b/>
                <w:bCs/>
                <w:color w:val="000000"/>
              </w:rPr>
              <w:t xml:space="preserve">responsabilitate </w:t>
            </w:r>
            <w:r w:rsidRPr="00E7532C">
              <w:rPr>
                <w:rFonts w:ascii="Times New Roman" w:hAnsi="Times New Roman"/>
                <w:color w:val="000000"/>
              </w:rPr>
              <w:t>în utilizarea feedback-ului pentru asigurarea succesului școlar.</w:t>
            </w:r>
          </w:p>
        </w:tc>
      </w:tr>
    </w:tbl>
    <w:p w14:paraId="31264042" w14:textId="77777777" w:rsidR="00E54FDB" w:rsidRDefault="00E54FDB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B4C8700" w14:textId="5F5DEBA7" w:rsidR="002A2A27" w:rsidRPr="00101A4C" w:rsidRDefault="000B3BD0" w:rsidP="000B3BD0">
      <w:pPr>
        <w:spacing w:line="240" w:lineRule="auto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1679304" w14:textId="3D7FE2E9" w:rsidR="006577CD" w:rsidRPr="00EB7A7B" w:rsidRDefault="00A45D21" w:rsidP="006577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7A7B">
        <w:rPr>
          <w:rFonts w:ascii="Times New Roman" w:hAnsi="Times New Roman"/>
          <w:sz w:val="24"/>
          <w:szCs w:val="24"/>
        </w:rPr>
        <w:t xml:space="preserve">Pornindu-se de analiza caracteristicilor de învățare ale studenților și de la nevoile lor specifice, procesul de predare va explora metode de predare atât expozitive (prelegerea, expunerea), cât și conversative-interactive, bazate pe modele de învățare prin descoperire facilitate de explorarea directa și indirectă a realității (experimentul, demonstrația, modelarea), dar și pe metode bazate pe acțiune, precum exercițiul, activitățile practice și rezolvarea de probleme. </w:t>
      </w:r>
    </w:p>
    <w:p w14:paraId="128861FC" w14:textId="542CE8F3" w:rsidR="00975323" w:rsidRPr="00EB7A7B" w:rsidRDefault="00924485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7A7B">
        <w:rPr>
          <w:rFonts w:ascii="Times New Roman" w:hAnsi="Times New Roman"/>
          <w:sz w:val="24"/>
          <w:szCs w:val="24"/>
        </w:rPr>
        <w:t xml:space="preserve">În activitatea de predare vor fi utilizate </w:t>
      </w:r>
      <w:r w:rsidR="00975323" w:rsidRPr="00EB7A7B">
        <w:rPr>
          <w:rFonts w:ascii="Times New Roman" w:hAnsi="Times New Roman"/>
          <w:sz w:val="24"/>
          <w:szCs w:val="24"/>
        </w:rPr>
        <w:t xml:space="preserve">prelegeri, în baza unor prezentări Power Point </w:t>
      </w:r>
      <w:r w:rsidR="007C6BB6" w:rsidRPr="00EB7A7B">
        <w:rPr>
          <w:rFonts w:ascii="Times New Roman" w:hAnsi="Times New Roman"/>
          <w:sz w:val="24"/>
          <w:szCs w:val="24"/>
        </w:rPr>
        <w:t xml:space="preserve">sau diferite filmulețe </w:t>
      </w:r>
      <w:r w:rsidR="00975323" w:rsidRPr="00EB7A7B">
        <w:rPr>
          <w:rFonts w:ascii="Times New Roman" w:hAnsi="Times New Roman"/>
          <w:sz w:val="24"/>
          <w:szCs w:val="24"/>
        </w:rPr>
        <w:t>care vor fi puse la dispozi</w:t>
      </w:r>
      <w:r w:rsidR="001B1709" w:rsidRPr="00EB7A7B">
        <w:rPr>
          <w:rFonts w:ascii="Times New Roman" w:hAnsi="Times New Roman"/>
          <w:sz w:val="24"/>
          <w:szCs w:val="24"/>
        </w:rPr>
        <w:t>ț</w:t>
      </w:r>
      <w:r w:rsidR="00975323" w:rsidRPr="00EB7A7B">
        <w:rPr>
          <w:rFonts w:ascii="Times New Roman" w:hAnsi="Times New Roman"/>
          <w:sz w:val="24"/>
          <w:szCs w:val="24"/>
        </w:rPr>
        <w:t>ia studen</w:t>
      </w:r>
      <w:r w:rsidR="001B1709" w:rsidRPr="00EB7A7B">
        <w:rPr>
          <w:rFonts w:ascii="Times New Roman" w:hAnsi="Times New Roman"/>
          <w:sz w:val="24"/>
          <w:szCs w:val="24"/>
        </w:rPr>
        <w:t>ț</w:t>
      </w:r>
      <w:r w:rsidR="00975323" w:rsidRPr="00EB7A7B">
        <w:rPr>
          <w:rFonts w:ascii="Times New Roman" w:hAnsi="Times New Roman"/>
          <w:sz w:val="24"/>
          <w:szCs w:val="24"/>
        </w:rPr>
        <w:t>ilor. Fiecare curs va debuta cu recapitularea capitolelor deja parcurse, cu accent asupra no</w:t>
      </w:r>
      <w:r w:rsidR="001B1709" w:rsidRPr="00EB7A7B">
        <w:rPr>
          <w:rFonts w:ascii="Times New Roman" w:hAnsi="Times New Roman"/>
          <w:sz w:val="24"/>
          <w:szCs w:val="24"/>
        </w:rPr>
        <w:t>ț</w:t>
      </w:r>
      <w:r w:rsidR="00975323" w:rsidRPr="00EB7A7B">
        <w:rPr>
          <w:rFonts w:ascii="Times New Roman" w:hAnsi="Times New Roman"/>
          <w:sz w:val="24"/>
          <w:szCs w:val="24"/>
        </w:rPr>
        <w:t xml:space="preserve">iunilor parcurse la ultimul curs. </w:t>
      </w:r>
    </w:p>
    <w:p w14:paraId="32D58F43" w14:textId="5B0F897D" w:rsidR="001F1957" w:rsidRPr="00EB7A7B" w:rsidRDefault="001F1957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7A7B">
        <w:rPr>
          <w:rFonts w:ascii="Times New Roman" w:hAnsi="Times New Roman"/>
          <w:sz w:val="24"/>
          <w:szCs w:val="24"/>
        </w:rPr>
        <w:t xml:space="preserve">Prezentările utilizează imagini </w:t>
      </w:r>
      <w:r w:rsidR="001B1709" w:rsidRPr="00EB7A7B">
        <w:rPr>
          <w:rFonts w:ascii="Times New Roman" w:hAnsi="Times New Roman"/>
          <w:sz w:val="24"/>
          <w:szCs w:val="24"/>
        </w:rPr>
        <w:t>ș</w:t>
      </w:r>
      <w:r w:rsidRPr="00EB7A7B">
        <w:rPr>
          <w:rFonts w:ascii="Times New Roman" w:hAnsi="Times New Roman"/>
          <w:sz w:val="24"/>
          <w:szCs w:val="24"/>
        </w:rPr>
        <w:t>i scheme, astfel încât informa</w:t>
      </w:r>
      <w:r w:rsidR="001B1709" w:rsidRPr="00EB7A7B">
        <w:rPr>
          <w:rFonts w:ascii="Times New Roman" w:hAnsi="Times New Roman"/>
          <w:sz w:val="24"/>
          <w:szCs w:val="24"/>
        </w:rPr>
        <w:t>ț</w:t>
      </w:r>
      <w:r w:rsidRPr="00EB7A7B">
        <w:rPr>
          <w:rFonts w:ascii="Times New Roman" w:hAnsi="Times New Roman"/>
          <w:sz w:val="24"/>
          <w:szCs w:val="24"/>
        </w:rPr>
        <w:t>iile prezentate să fie u</w:t>
      </w:r>
      <w:r w:rsidR="001B1709" w:rsidRPr="00EB7A7B">
        <w:rPr>
          <w:rFonts w:ascii="Times New Roman" w:hAnsi="Times New Roman"/>
          <w:sz w:val="24"/>
          <w:szCs w:val="24"/>
        </w:rPr>
        <w:t>ș</w:t>
      </w:r>
      <w:r w:rsidRPr="00EB7A7B">
        <w:rPr>
          <w:rFonts w:ascii="Times New Roman" w:hAnsi="Times New Roman"/>
          <w:sz w:val="24"/>
          <w:szCs w:val="24"/>
        </w:rPr>
        <w:t>or de în</w:t>
      </w:r>
      <w:r w:rsidR="001B1709" w:rsidRPr="00EB7A7B">
        <w:rPr>
          <w:rFonts w:ascii="Times New Roman" w:hAnsi="Times New Roman"/>
          <w:sz w:val="24"/>
          <w:szCs w:val="24"/>
        </w:rPr>
        <w:t>ț</w:t>
      </w:r>
      <w:r w:rsidRPr="00EB7A7B">
        <w:rPr>
          <w:rFonts w:ascii="Times New Roman" w:hAnsi="Times New Roman"/>
          <w:sz w:val="24"/>
          <w:szCs w:val="24"/>
        </w:rPr>
        <w:t xml:space="preserve">eles </w:t>
      </w:r>
      <w:r w:rsidR="001B1709" w:rsidRPr="00EB7A7B">
        <w:rPr>
          <w:rFonts w:ascii="Times New Roman" w:hAnsi="Times New Roman"/>
          <w:sz w:val="24"/>
          <w:szCs w:val="24"/>
        </w:rPr>
        <w:t>ș</w:t>
      </w:r>
      <w:r w:rsidRPr="00EB7A7B">
        <w:rPr>
          <w:rFonts w:ascii="Times New Roman" w:hAnsi="Times New Roman"/>
          <w:sz w:val="24"/>
          <w:szCs w:val="24"/>
        </w:rPr>
        <w:t>i asimilat.</w:t>
      </w:r>
    </w:p>
    <w:p w14:paraId="2F12CB19" w14:textId="56F167E9" w:rsidR="00A45D21" w:rsidRPr="00EB7A7B" w:rsidRDefault="005013E2" w:rsidP="000B3BD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 w:rsidRPr="00EB7A7B">
        <w:rPr>
          <w:rFonts w:ascii="Times New Roman" w:hAnsi="Times New Roman"/>
          <w:sz w:val="24"/>
          <w:szCs w:val="24"/>
        </w:rPr>
        <w:t>Ace</w:t>
      </w:r>
      <w:r w:rsidR="006A175C" w:rsidRPr="00EB7A7B">
        <w:rPr>
          <w:rFonts w:ascii="Times New Roman" w:hAnsi="Times New Roman"/>
          <w:sz w:val="24"/>
          <w:szCs w:val="24"/>
        </w:rPr>
        <w:t>a</w:t>
      </w:r>
      <w:r w:rsidRPr="00EB7A7B">
        <w:rPr>
          <w:rFonts w:ascii="Times New Roman" w:hAnsi="Times New Roman"/>
          <w:sz w:val="24"/>
          <w:szCs w:val="24"/>
        </w:rPr>
        <w:t xml:space="preserve">stă </w:t>
      </w:r>
      <w:r w:rsidR="003665AD" w:rsidRPr="00EB7A7B">
        <w:rPr>
          <w:rFonts w:ascii="Times New Roman" w:hAnsi="Times New Roman"/>
          <w:sz w:val="24"/>
          <w:szCs w:val="24"/>
        </w:rPr>
        <w:t xml:space="preserve">disciplină acoperă informații și activități practice menite să-i sprijine </w:t>
      </w:r>
      <w:r w:rsidR="00024FEB" w:rsidRPr="00EB7A7B">
        <w:rPr>
          <w:rFonts w:ascii="Times New Roman" w:hAnsi="Times New Roman"/>
          <w:sz w:val="24"/>
          <w:szCs w:val="24"/>
        </w:rPr>
        <w:t>pe studenți</w:t>
      </w:r>
      <w:r w:rsidR="003665AD" w:rsidRPr="00EB7A7B">
        <w:rPr>
          <w:rFonts w:ascii="Times New Roman" w:hAnsi="Times New Roman"/>
          <w:sz w:val="24"/>
          <w:szCs w:val="24"/>
        </w:rPr>
        <w:t xml:space="preserve"> în eforturile de învățare și de dezvoltare a unor relații optime de </w:t>
      </w:r>
      <w:r w:rsidR="0094747F" w:rsidRPr="00EB7A7B">
        <w:rPr>
          <w:rFonts w:ascii="Times New Roman" w:hAnsi="Times New Roman"/>
          <w:sz w:val="24"/>
          <w:szCs w:val="24"/>
        </w:rPr>
        <w:t xml:space="preserve">colaborare și </w:t>
      </w:r>
      <w:r w:rsidR="003665AD" w:rsidRPr="00EB7A7B">
        <w:rPr>
          <w:rFonts w:ascii="Times New Roman" w:hAnsi="Times New Roman"/>
          <w:sz w:val="24"/>
          <w:szCs w:val="24"/>
        </w:rPr>
        <w:t>comunicare într-un climat favorabil</w:t>
      </w:r>
      <w:r w:rsidR="0094747F" w:rsidRPr="00EB7A7B">
        <w:rPr>
          <w:rFonts w:ascii="Times New Roman" w:hAnsi="Times New Roman"/>
          <w:sz w:val="24"/>
          <w:szCs w:val="24"/>
        </w:rPr>
        <w:t xml:space="preserve"> învățării prin descoperire</w:t>
      </w:r>
      <w:r w:rsidR="003665AD" w:rsidRPr="00EB7A7B">
        <w:rPr>
          <w:rFonts w:ascii="Times New Roman" w:hAnsi="Times New Roman"/>
          <w:sz w:val="24"/>
          <w:szCs w:val="24"/>
        </w:rPr>
        <w:t xml:space="preserve">. </w:t>
      </w:r>
    </w:p>
    <w:p w14:paraId="5324A3E2" w14:textId="0D2A233C" w:rsidR="00246F30" w:rsidRPr="00EB7A7B" w:rsidRDefault="00A45D21" w:rsidP="000B3BD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 w:rsidRPr="00EB7A7B">
        <w:rPr>
          <w:rFonts w:ascii="Times New Roman" w:hAnsi="Times New Roman"/>
          <w:sz w:val="24"/>
          <w:szCs w:val="24"/>
        </w:rPr>
        <w:t>Se va avea în vedere e</w:t>
      </w:r>
      <w:r w:rsidR="00246F30" w:rsidRPr="00EB7A7B">
        <w:rPr>
          <w:rFonts w:ascii="Times New Roman" w:hAnsi="Times New Roman"/>
          <w:sz w:val="24"/>
          <w:szCs w:val="24"/>
        </w:rPr>
        <w:t xml:space="preserve">xersarea </w:t>
      </w:r>
      <w:r w:rsidR="00D369A3" w:rsidRPr="00EB7A7B">
        <w:rPr>
          <w:rFonts w:ascii="Times New Roman" w:hAnsi="Times New Roman"/>
          <w:sz w:val="24"/>
          <w:szCs w:val="24"/>
        </w:rPr>
        <w:t>abilităților</w:t>
      </w:r>
      <w:r w:rsidR="00246F30" w:rsidRPr="00EB7A7B">
        <w:rPr>
          <w:rFonts w:ascii="Times New Roman" w:hAnsi="Times New Roman"/>
          <w:sz w:val="24"/>
          <w:szCs w:val="24"/>
        </w:rPr>
        <w:t xml:space="preserve"> de ascultare activă şi de comunicare asertivă, precum şi a mecanismelor de </w:t>
      </w:r>
      <w:r w:rsidR="00D369A3" w:rsidRPr="00EB7A7B">
        <w:rPr>
          <w:rFonts w:ascii="Times New Roman" w:hAnsi="Times New Roman"/>
          <w:sz w:val="24"/>
          <w:szCs w:val="24"/>
        </w:rPr>
        <w:t>construcție</w:t>
      </w:r>
      <w:r w:rsidR="00246F30" w:rsidRPr="00EB7A7B">
        <w:rPr>
          <w:rFonts w:ascii="Times New Roman" w:hAnsi="Times New Roman"/>
          <w:sz w:val="24"/>
          <w:szCs w:val="24"/>
        </w:rPr>
        <w:t xml:space="preserve"> a feedback-ului, ca </w:t>
      </w:r>
      <w:r w:rsidR="00D369A3" w:rsidRPr="00EB7A7B">
        <w:rPr>
          <w:rFonts w:ascii="Times New Roman" w:hAnsi="Times New Roman"/>
          <w:sz w:val="24"/>
          <w:szCs w:val="24"/>
        </w:rPr>
        <w:t>modalități</w:t>
      </w:r>
      <w:r w:rsidR="00246F30" w:rsidRPr="00EB7A7B">
        <w:rPr>
          <w:rFonts w:ascii="Times New Roman" w:hAnsi="Times New Roman"/>
          <w:sz w:val="24"/>
          <w:szCs w:val="24"/>
        </w:rPr>
        <w:t xml:space="preserve"> de reglare comportamentală în situații diverse și de adaptare a demersului pedagogic la nevoile de învățare ale studenților.</w:t>
      </w:r>
    </w:p>
    <w:p w14:paraId="1AE4CF42" w14:textId="237BEE9B" w:rsidR="001F1957" w:rsidRDefault="00A45D21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B7A7B">
        <w:rPr>
          <w:rFonts w:ascii="Times New Roman" w:hAnsi="Times New Roman"/>
          <w:sz w:val="24"/>
          <w:szCs w:val="24"/>
        </w:rPr>
        <w:t>Se va e</w:t>
      </w:r>
      <w:r w:rsidR="00246F30" w:rsidRPr="00EB7A7B">
        <w:rPr>
          <w:rFonts w:ascii="Times New Roman" w:hAnsi="Times New Roman"/>
          <w:sz w:val="24"/>
          <w:szCs w:val="24"/>
        </w:rPr>
        <w:t>xersa</w:t>
      </w:r>
      <w:r w:rsidRPr="00EB7A7B">
        <w:rPr>
          <w:rFonts w:ascii="Times New Roman" w:hAnsi="Times New Roman"/>
          <w:sz w:val="24"/>
          <w:szCs w:val="24"/>
        </w:rPr>
        <w:t xml:space="preserve"> abilitatea</w:t>
      </w:r>
      <w:r w:rsidR="00246F30" w:rsidRPr="00EB7A7B">
        <w:rPr>
          <w:rFonts w:ascii="Times New Roman" w:hAnsi="Times New Roman"/>
          <w:sz w:val="24"/>
          <w:szCs w:val="24"/>
        </w:rPr>
        <w:t xml:space="preserve"> de lucru în echipă</w:t>
      </w:r>
      <w:r w:rsidR="00246F30" w:rsidRPr="00EB7A7B">
        <w:rPr>
          <w:rFonts w:ascii="Times New Roman" w:hAnsi="Times New Roman"/>
          <w:color w:val="000000"/>
          <w:sz w:val="24"/>
          <w:szCs w:val="24"/>
        </w:rPr>
        <w:t xml:space="preserve"> pentru rezolvarea diferitelor  sarcini de învățare.</w:t>
      </w:r>
    </w:p>
    <w:p w14:paraId="647D86D9" w14:textId="3EAB2B2B" w:rsidR="00E54FDB" w:rsidRDefault="00E54FDB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58216B" w14:textId="719F3372" w:rsidR="00E54FDB" w:rsidRPr="00F33C98" w:rsidRDefault="00417B1C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33C98">
        <w:rPr>
          <w:rFonts w:ascii="Times New Roman" w:hAnsi="Times New Roman"/>
          <w:color w:val="000000"/>
          <w:sz w:val="24"/>
          <w:szCs w:val="24"/>
        </w:rPr>
        <w:t>Toate aceste condiții îndeplinite și metode folosite vor conduce la formarea competențelor specifice vizate, precum:</w:t>
      </w:r>
    </w:p>
    <w:p w14:paraId="387A03B3" w14:textId="6659B73C" w:rsidR="00417B1C" w:rsidRPr="00F33C98" w:rsidRDefault="00417B1C" w:rsidP="00417B1C">
      <w:pPr>
        <w:shd w:val="clear" w:color="auto" w:fill="FFFFFF"/>
        <w:rPr>
          <w:rFonts w:ascii="Times New Roman" w:hAnsi="Times New Roman"/>
          <w:sz w:val="24"/>
          <w:szCs w:val="18"/>
        </w:rPr>
      </w:pPr>
      <w:r w:rsidRPr="00F33C98">
        <w:rPr>
          <w:rFonts w:ascii="Times New Roman" w:hAnsi="Times New Roman"/>
          <w:bCs/>
          <w:sz w:val="24"/>
          <w:szCs w:val="18"/>
        </w:rPr>
        <w:t xml:space="preserve">- </w:t>
      </w:r>
      <w:r w:rsidRPr="00F33C98">
        <w:rPr>
          <w:rFonts w:ascii="Times New Roman" w:hAnsi="Times New Roman"/>
          <w:sz w:val="24"/>
          <w:szCs w:val="18"/>
        </w:rPr>
        <w:t xml:space="preserve">Competenţa lingvistică şi abilităţi de actualizare a acesteia ca performanţă (atât în înţelegerea / interpretarea, cât şi în producerea secvenţelor comunicative) </w:t>
      </w:r>
    </w:p>
    <w:p w14:paraId="3BECBEB2" w14:textId="5F1F6087" w:rsidR="00417B1C" w:rsidRPr="00F33C98" w:rsidRDefault="00417B1C" w:rsidP="00417B1C">
      <w:pPr>
        <w:shd w:val="clear" w:color="auto" w:fill="FFFFFF"/>
        <w:rPr>
          <w:rFonts w:ascii="Times New Roman" w:hAnsi="Times New Roman"/>
          <w:sz w:val="24"/>
          <w:szCs w:val="18"/>
        </w:rPr>
      </w:pPr>
      <w:r w:rsidRPr="00F33C98">
        <w:rPr>
          <w:rFonts w:ascii="Times New Roman" w:hAnsi="Times New Roman"/>
          <w:bCs/>
          <w:sz w:val="24"/>
          <w:szCs w:val="18"/>
        </w:rPr>
        <w:t>-</w:t>
      </w:r>
      <w:r w:rsidRPr="00F33C98">
        <w:rPr>
          <w:rFonts w:ascii="Times New Roman" w:hAnsi="Times New Roman"/>
          <w:sz w:val="24"/>
          <w:szCs w:val="18"/>
          <w:shd w:val="clear" w:color="auto" w:fill="FFFFFF"/>
        </w:rPr>
        <w:t xml:space="preserve"> Competenţa de comunicare sporită şi performanţă îmbunătăţită în comentariul de text</w:t>
      </w:r>
    </w:p>
    <w:p w14:paraId="0385A0E4" w14:textId="24103BD7" w:rsidR="00417B1C" w:rsidRPr="00417B1C" w:rsidRDefault="00417B1C" w:rsidP="00417B1C">
      <w:pPr>
        <w:spacing w:after="0" w:line="240" w:lineRule="auto"/>
        <w:jc w:val="both"/>
        <w:rPr>
          <w:rFonts w:ascii="Times New Roman" w:hAnsi="Times New Roman"/>
          <w:sz w:val="36"/>
          <w:szCs w:val="24"/>
        </w:rPr>
      </w:pPr>
      <w:r w:rsidRPr="00F33C98">
        <w:rPr>
          <w:rFonts w:ascii="Times New Roman" w:hAnsi="Times New Roman"/>
          <w:bCs/>
          <w:sz w:val="24"/>
          <w:szCs w:val="18"/>
        </w:rPr>
        <w:t>- Comunicarea orală si scrisă a unor mesaje structurate referitoare la o problemă dată</w:t>
      </w:r>
    </w:p>
    <w:p w14:paraId="628B6B21" w14:textId="77777777" w:rsidR="00092742" w:rsidRDefault="0009274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1117EE" w14:textId="03BF722A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79"/>
        <w:gridCol w:w="8328"/>
        <w:gridCol w:w="71"/>
        <w:gridCol w:w="803"/>
        <w:gridCol w:w="54"/>
        <w:gridCol w:w="9"/>
      </w:tblGrid>
      <w:tr w:rsidR="00AD6760" w:rsidRPr="00AD6760" w14:paraId="14972563" w14:textId="77777777" w:rsidTr="00092742">
        <w:trPr>
          <w:jc w:val="center"/>
        </w:trPr>
        <w:tc>
          <w:tcPr>
            <w:tcW w:w="10394" w:type="dxa"/>
            <w:gridSpan w:val="7"/>
            <w:vAlign w:val="center"/>
          </w:tcPr>
          <w:p w14:paraId="238085BB" w14:textId="6AB365BF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  <w:vAlign w:val="center"/>
          </w:tcPr>
          <w:p w14:paraId="482092A5" w14:textId="63748D14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</w:t>
            </w:r>
          </w:p>
        </w:tc>
        <w:tc>
          <w:tcPr>
            <w:tcW w:w="8399" w:type="dxa"/>
            <w:gridSpan w:val="2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gridSpan w:val="2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AB5784" w:rsidRPr="00AD6760" w14:paraId="2FAF5653" w14:textId="77777777" w:rsidTr="00092742">
        <w:trPr>
          <w:gridAfter w:val="1"/>
          <w:wAfter w:w="9" w:type="dxa"/>
          <w:trHeight w:val="456"/>
          <w:jc w:val="center"/>
        </w:trPr>
        <w:tc>
          <w:tcPr>
            <w:tcW w:w="1129" w:type="dxa"/>
            <w:gridSpan w:val="2"/>
            <w:vAlign w:val="center"/>
          </w:tcPr>
          <w:p w14:paraId="70FBC42F" w14:textId="050B956A" w:rsidR="00AB5784" w:rsidRPr="00AD6760" w:rsidRDefault="00AB5784" w:rsidP="00AB578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  <w:gridSpan w:val="2"/>
          </w:tcPr>
          <w:p w14:paraId="05A240DB" w14:textId="619D7FD4" w:rsidR="00AB5784" w:rsidRPr="00092742" w:rsidRDefault="00AB5784" w:rsidP="00AB5784">
            <w:pPr>
              <w:spacing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PMingLiU" w:hAnsi="Times New Roman"/>
                <w:lang w:val="it-IT" w:eastAsia="zh-TW"/>
              </w:rPr>
              <w:t>Argumentul – definiție. Argumentarea. Tipuri de argumentare. Comunicarea umană – comunicare didactică bazată pe argumentare (situaţii de comunicare didactică).</w:t>
            </w:r>
          </w:p>
        </w:tc>
        <w:tc>
          <w:tcPr>
            <w:tcW w:w="857" w:type="dxa"/>
            <w:gridSpan w:val="2"/>
            <w:vAlign w:val="center"/>
          </w:tcPr>
          <w:p w14:paraId="3C9EB5C0" w14:textId="0FC8C360" w:rsidR="00AB5784" w:rsidRPr="00AB5784" w:rsidRDefault="00AB5784" w:rsidP="00AB578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AB5784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2</w:t>
            </w:r>
          </w:p>
        </w:tc>
      </w:tr>
      <w:tr w:rsidR="002A2A27" w:rsidRPr="00AD6760" w14:paraId="18ABA96D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  <w:vAlign w:val="center"/>
          </w:tcPr>
          <w:p w14:paraId="748F843E" w14:textId="247DB6A0" w:rsidR="002A2A27" w:rsidRPr="00AD6760" w:rsidRDefault="008D1A77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  <w:gridSpan w:val="2"/>
          </w:tcPr>
          <w:p w14:paraId="40D13369" w14:textId="509CAC3A" w:rsidR="002A2A27" w:rsidRPr="00092742" w:rsidRDefault="00AB5784" w:rsidP="000B3BD0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Corbel" w:hAnsi="Times New Roman"/>
              </w:rPr>
              <w:t>Relaţia locutor–interlocutor din perspectiva dublei intenţionalităţi a argumentării</w:t>
            </w:r>
          </w:p>
        </w:tc>
        <w:tc>
          <w:tcPr>
            <w:tcW w:w="857" w:type="dxa"/>
            <w:gridSpan w:val="2"/>
            <w:vAlign w:val="center"/>
          </w:tcPr>
          <w:p w14:paraId="34AE2AC5" w14:textId="23FBFDFD" w:rsidR="002A2A27" w:rsidRPr="00AB5784" w:rsidRDefault="00AB5784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AB5784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2</w:t>
            </w:r>
          </w:p>
        </w:tc>
      </w:tr>
      <w:tr w:rsidR="00AB5784" w:rsidRPr="00AD6760" w14:paraId="389DF12A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  <w:vAlign w:val="center"/>
          </w:tcPr>
          <w:p w14:paraId="0C8F769E" w14:textId="64E74B94" w:rsidR="00AB5784" w:rsidRPr="00AD6760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  <w:gridSpan w:val="2"/>
          </w:tcPr>
          <w:p w14:paraId="76C651D4" w14:textId="053B0ACB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Tipologia propoziţiilor argumentative</w:t>
            </w:r>
          </w:p>
        </w:tc>
        <w:tc>
          <w:tcPr>
            <w:tcW w:w="857" w:type="dxa"/>
            <w:gridSpan w:val="2"/>
            <w:vAlign w:val="center"/>
          </w:tcPr>
          <w:p w14:paraId="313E2854" w14:textId="154B8AA9" w:rsidR="00AB5784" w:rsidRPr="00AB5784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AB5784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2</w:t>
            </w:r>
          </w:p>
        </w:tc>
      </w:tr>
      <w:tr w:rsidR="002A2A27" w:rsidRPr="00AD6760" w14:paraId="2CC7EA92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  <w:vAlign w:val="center"/>
          </w:tcPr>
          <w:p w14:paraId="1E399926" w14:textId="3388CF94" w:rsidR="002A2A27" w:rsidRPr="00AD6760" w:rsidRDefault="00F972C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  <w:gridSpan w:val="2"/>
          </w:tcPr>
          <w:p w14:paraId="22B505D2" w14:textId="39121A64" w:rsidR="002A2A27" w:rsidRPr="00092742" w:rsidRDefault="00AB5784" w:rsidP="000B3BD0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Tipologia şi funcţionalitatea argumentelor</w:t>
            </w:r>
          </w:p>
        </w:tc>
        <w:tc>
          <w:tcPr>
            <w:tcW w:w="857" w:type="dxa"/>
            <w:gridSpan w:val="2"/>
            <w:vAlign w:val="center"/>
          </w:tcPr>
          <w:p w14:paraId="15AD19EA" w14:textId="0E132E45" w:rsidR="002A2A27" w:rsidRPr="00AB5784" w:rsidRDefault="00AB5784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578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A2A27" w:rsidRPr="00AD6760" w14:paraId="0CBD9111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  <w:vAlign w:val="center"/>
          </w:tcPr>
          <w:p w14:paraId="0C7E9E3C" w14:textId="22901F68" w:rsidR="002A2A27" w:rsidRPr="00AD6760" w:rsidRDefault="00F972C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  <w:gridSpan w:val="2"/>
          </w:tcPr>
          <w:p w14:paraId="70892A4D" w14:textId="0A8583A0" w:rsidR="002A2A27" w:rsidRPr="00092742" w:rsidRDefault="00AB5784" w:rsidP="000B3BD0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Deducţia inferenţială şi deducţia silogistică</w:t>
            </w:r>
          </w:p>
        </w:tc>
        <w:tc>
          <w:tcPr>
            <w:tcW w:w="857" w:type="dxa"/>
            <w:gridSpan w:val="2"/>
            <w:vAlign w:val="center"/>
          </w:tcPr>
          <w:p w14:paraId="5928C940" w14:textId="10E2BB60" w:rsidR="002A2A27" w:rsidRPr="00AB5784" w:rsidRDefault="00AB5784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578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B5784" w:rsidRPr="00AD6760" w14:paraId="63209E08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  <w:vAlign w:val="center"/>
          </w:tcPr>
          <w:p w14:paraId="2277214C" w14:textId="23804343" w:rsidR="00AB5784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  <w:gridSpan w:val="2"/>
          </w:tcPr>
          <w:p w14:paraId="4F452B76" w14:textId="4082B7A7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Tehnici inductive de argumentare</w:t>
            </w:r>
          </w:p>
        </w:tc>
        <w:tc>
          <w:tcPr>
            <w:tcW w:w="857" w:type="dxa"/>
            <w:gridSpan w:val="2"/>
            <w:vAlign w:val="center"/>
          </w:tcPr>
          <w:p w14:paraId="2BA13951" w14:textId="653B0F17" w:rsidR="00AB5784" w:rsidRPr="00AB5784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578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B5784" w:rsidRPr="00AD6760" w14:paraId="59019043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  <w:vAlign w:val="center"/>
          </w:tcPr>
          <w:p w14:paraId="23E67C42" w14:textId="3ACE5485" w:rsidR="00AB5784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  <w:gridSpan w:val="2"/>
          </w:tcPr>
          <w:p w14:paraId="5C39A28D" w14:textId="75AD4392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>Persuasiunea şi manipularea în practica discursivă. Sofismul ca formă a patologiei argumentării</w:t>
            </w:r>
          </w:p>
        </w:tc>
        <w:tc>
          <w:tcPr>
            <w:tcW w:w="857" w:type="dxa"/>
            <w:gridSpan w:val="2"/>
            <w:vAlign w:val="center"/>
          </w:tcPr>
          <w:p w14:paraId="2A1DEC5E" w14:textId="25BECE8F" w:rsidR="00AB5784" w:rsidRPr="00AB5784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578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B5784" w:rsidRPr="00AD6760" w14:paraId="57D01962" w14:textId="77777777" w:rsidTr="00092742">
        <w:trPr>
          <w:gridAfter w:val="1"/>
          <w:wAfter w:w="9" w:type="dxa"/>
          <w:jc w:val="center"/>
        </w:trPr>
        <w:tc>
          <w:tcPr>
            <w:tcW w:w="1129" w:type="dxa"/>
            <w:gridSpan w:val="2"/>
          </w:tcPr>
          <w:p w14:paraId="525731DE" w14:textId="77777777" w:rsidR="00AB5784" w:rsidRPr="00AD6760" w:rsidRDefault="00AB5784" w:rsidP="00AB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2"/>
          </w:tcPr>
          <w:p w14:paraId="7620E052" w14:textId="77777777" w:rsidR="00AB5784" w:rsidRPr="00092742" w:rsidRDefault="00AB5784" w:rsidP="00AB578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092742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857" w:type="dxa"/>
            <w:gridSpan w:val="2"/>
          </w:tcPr>
          <w:p w14:paraId="664A9F59" w14:textId="2A984125" w:rsidR="00AB5784" w:rsidRPr="00AB5784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578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AB5784" w:rsidRPr="00AD6760" w14:paraId="210E37E8" w14:textId="77777777" w:rsidTr="00092742">
        <w:trPr>
          <w:jc w:val="center"/>
        </w:trPr>
        <w:tc>
          <w:tcPr>
            <w:tcW w:w="10394" w:type="dxa"/>
            <w:gridSpan w:val="7"/>
          </w:tcPr>
          <w:p w14:paraId="494D1DED" w14:textId="154E14CA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2742">
              <w:rPr>
                <w:rFonts w:ascii="Times New Roman" w:hAnsi="Times New Roman"/>
                <w:b/>
                <w:bCs/>
              </w:rPr>
              <w:t>Bibliografie:</w:t>
            </w:r>
          </w:p>
          <w:p w14:paraId="610DA63F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1. William Empson,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Sapte tipuri de ambiguitate</w:t>
            </w:r>
            <w:r w:rsidRPr="00092742">
              <w:rPr>
                <w:rFonts w:ascii="Times New Roman" w:eastAsia="TimesNewRoman" w:hAnsi="Times New Roman"/>
              </w:rPr>
              <w:t>, Editura Univers, Bucuresti, 1981;</w:t>
            </w:r>
          </w:p>
          <w:p w14:paraId="63AFB62C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  <w:lang w:val="de-DE"/>
              </w:rPr>
            </w:pPr>
            <w:r w:rsidRPr="00092742">
              <w:rPr>
                <w:rFonts w:ascii="Times New Roman" w:eastAsia="TimesNewRoman" w:hAnsi="Times New Roman"/>
                <w:lang w:val="de-DE"/>
              </w:rPr>
              <w:t xml:space="preserve">2. Angele Kremer-Marietti, </w:t>
            </w:r>
            <w:r w:rsidRPr="00092742">
              <w:rPr>
                <w:rFonts w:ascii="Times New Roman" w:eastAsia="TimesNewRoman,Italic" w:hAnsi="Times New Roman"/>
                <w:i/>
                <w:iCs/>
                <w:lang w:val="de-DE"/>
              </w:rPr>
              <w:t>Michel Meyer et la problematologie</w:t>
            </w:r>
            <w:r w:rsidRPr="00092742">
              <w:rPr>
                <w:rFonts w:ascii="Times New Roman" w:eastAsia="TimesNewRoman" w:hAnsi="Times New Roman"/>
                <w:lang w:val="de-DE"/>
              </w:rPr>
              <w:t>, Edition de L`Universite de Bruxelles, 2008;</w:t>
            </w:r>
          </w:p>
          <w:p w14:paraId="66ECAD6B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3. Charles U. Larson,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Persuasiunea. Receptare si responsabilitate</w:t>
            </w:r>
            <w:r w:rsidRPr="00092742">
              <w:rPr>
                <w:rFonts w:ascii="Times New Roman" w:eastAsia="TimesNewRoman" w:hAnsi="Times New Roman"/>
              </w:rPr>
              <w:t>, Editura Polirom, 2003;</w:t>
            </w:r>
          </w:p>
          <w:p w14:paraId="20C5D03E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4. Vicenzo Lo Cascio,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Gramatica argumentării. Strategii si structuri</w:t>
            </w:r>
            <w:r w:rsidRPr="00092742">
              <w:rPr>
                <w:rFonts w:ascii="Times New Roman" w:eastAsia="TimesNewRoman" w:hAnsi="Times New Roman"/>
              </w:rPr>
              <w:t>, Ed. Meteora Press, Bucuresti, 2002;</w:t>
            </w:r>
          </w:p>
          <w:p w14:paraId="5FD2A35A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5. Andrei Marga,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Argumentarea</w:t>
            </w:r>
            <w:r w:rsidRPr="00092742">
              <w:rPr>
                <w:rFonts w:ascii="Times New Roman" w:eastAsia="TimesNewRoman" w:hAnsi="Times New Roman"/>
              </w:rPr>
              <w:t>, Editura Academiei Romane, Bucuresti, 2010;</w:t>
            </w:r>
          </w:p>
          <w:p w14:paraId="2ED1A2D1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6. Andrei Marga,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Raționalitate, comunicare, argumentare</w:t>
            </w:r>
            <w:r w:rsidRPr="00092742">
              <w:rPr>
                <w:rFonts w:ascii="Times New Roman" w:eastAsia="TimesNewRoman" w:hAnsi="Times New Roman"/>
              </w:rPr>
              <w:t>, Editura Grinta, Cluj-Napoca, 2009;</w:t>
            </w:r>
          </w:p>
          <w:p w14:paraId="3B5FEDB7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7. Chaim Perelman et Lucie Olbrechts-Tyteca,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Taite de l`argumentation. La nouvelle rhetorique</w:t>
            </w:r>
            <w:r w:rsidRPr="00092742">
              <w:rPr>
                <w:rFonts w:ascii="Times New Roman" w:eastAsia="TimesNewRoman" w:hAnsi="Times New Roman"/>
              </w:rPr>
              <w:t>, 6e edition, Edition de L`Universite de Bruxelles, 2008;</w:t>
            </w:r>
          </w:p>
          <w:p w14:paraId="6A2F4B63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8. Daniela Rovența-Frumusani,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Introducere in teoria argumentării</w:t>
            </w:r>
            <w:r w:rsidRPr="00092742">
              <w:rPr>
                <w:rFonts w:ascii="Times New Roman" w:eastAsia="TimesNewRoman" w:hAnsi="Times New Roman"/>
              </w:rPr>
              <w:t>, Ed. Universitătii din Bucuresti, 1994;</w:t>
            </w:r>
          </w:p>
          <w:p w14:paraId="336C00DD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9. Daniela Rovența-Frumusani,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Argumentarea. Modele si strategii</w:t>
            </w:r>
            <w:r w:rsidRPr="00092742">
              <w:rPr>
                <w:rFonts w:ascii="Times New Roman" w:eastAsia="TimesNewRoman" w:hAnsi="Times New Roman"/>
              </w:rPr>
              <w:t>, Editura Bic All, Bucuresti, 2000;</w:t>
            </w:r>
          </w:p>
          <w:p w14:paraId="5169E757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10. Constantin Sălăvăstru,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Teoria si practica argumentării</w:t>
            </w:r>
            <w:r w:rsidRPr="00092742">
              <w:rPr>
                <w:rFonts w:ascii="Times New Roman" w:eastAsia="TimesNewRoman" w:hAnsi="Times New Roman"/>
              </w:rPr>
              <w:t>, Editura Polirom, Iasi, 2003;</w:t>
            </w:r>
          </w:p>
          <w:p w14:paraId="66DCD244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11. Drăgan Stoianovici,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Argumentare si gandire critică</w:t>
            </w:r>
            <w:r w:rsidRPr="00092742">
              <w:rPr>
                <w:rFonts w:ascii="Times New Roman" w:eastAsia="TimesNewRoman" w:hAnsi="Times New Roman"/>
              </w:rPr>
              <w:t>, Ed. Universitătii din Bucuresti, Bucuresti, 2005;</w:t>
            </w:r>
          </w:p>
          <w:p w14:paraId="407B567E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12. Stephen E. Toulmin,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The Uses of Argument</w:t>
            </w:r>
            <w:r w:rsidRPr="00092742">
              <w:rPr>
                <w:rFonts w:ascii="Times New Roman" w:eastAsia="TimesNewRoman" w:hAnsi="Times New Roman"/>
              </w:rPr>
              <w:t>, Updated Edition, Cambridge University Press, 2006;</w:t>
            </w:r>
          </w:p>
          <w:p w14:paraId="14F5496B" w14:textId="6F3E20C6" w:rsidR="00AB5784" w:rsidRPr="00092742" w:rsidRDefault="00AB5784" w:rsidP="00AB5784">
            <w:pPr>
              <w:spacing w:after="0" w:line="360" w:lineRule="auto"/>
              <w:rPr>
                <w:rFonts w:ascii="Times New Roman" w:hAnsi="Times New Roman"/>
                <w:lang w:val="pt-BR" w:eastAsia="ro-RO"/>
              </w:rPr>
            </w:pPr>
            <w:r w:rsidRPr="00092742">
              <w:rPr>
                <w:rFonts w:ascii="Times New Roman" w:eastAsia="TimesNewRoman" w:hAnsi="Times New Roman"/>
              </w:rPr>
              <w:t xml:space="preserve">13. Nigel Warburton,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Cum să gandim corect si eficient</w:t>
            </w:r>
            <w:r w:rsidRPr="00092742">
              <w:rPr>
                <w:rFonts w:ascii="Times New Roman" w:eastAsia="TimesNewRoman" w:hAnsi="Times New Roman"/>
              </w:rPr>
              <w:t>, Editura Trei, Bucuresti, 1999.</w:t>
            </w:r>
            <w:r w:rsidRPr="00092742">
              <w:rPr>
                <w:rFonts w:ascii="Times New Roman" w:hAnsi="Times New Roman"/>
                <w:lang w:val="pt-BR" w:eastAsia="ro-RO"/>
              </w:rPr>
              <w:t>.</w:t>
            </w:r>
            <w:r w:rsidRPr="00092742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</w:tr>
      <w:tr w:rsidR="00AD6760" w:rsidRPr="00AD6760" w14:paraId="3642EC7C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10331" w:type="dxa"/>
            <w:gridSpan w:val="5"/>
            <w:vAlign w:val="center"/>
          </w:tcPr>
          <w:p w14:paraId="56131CC1" w14:textId="77C302ED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  <w:r w:rsidR="00745DEC">
              <w:rPr>
                <w:rFonts w:ascii="Times New Roman" w:hAnsi="Times New Roman"/>
                <w:b/>
                <w:bCs/>
                <w:sz w:val="24"/>
                <w:szCs w:val="24"/>
              </w:rPr>
              <w:t>/ SEMINAR</w:t>
            </w:r>
            <w:r w:rsidR="003075CA">
              <w:rPr>
                <w:rFonts w:ascii="Times New Roman" w:hAnsi="Times New Roman"/>
                <w:b/>
                <w:bCs/>
                <w:sz w:val="24"/>
                <w:szCs w:val="24"/>
              </w:rPr>
              <w:t>/PROIECT</w:t>
            </w:r>
          </w:p>
        </w:tc>
      </w:tr>
      <w:tr w:rsidR="00AD6760" w:rsidRPr="00924485" w14:paraId="6B577D84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607" w:type="dxa"/>
            <w:gridSpan w:val="2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gridSpan w:val="2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AB5784" w:rsidRPr="00092742" w14:paraId="10F798F8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</w:tcPr>
          <w:p w14:paraId="407718C1" w14:textId="77777777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742">
              <w:rPr>
                <w:rFonts w:ascii="Times New Roman" w:hAnsi="Times New Roman"/>
              </w:rPr>
              <w:t>1.</w:t>
            </w:r>
          </w:p>
        </w:tc>
        <w:tc>
          <w:tcPr>
            <w:tcW w:w="8607" w:type="dxa"/>
            <w:gridSpan w:val="2"/>
          </w:tcPr>
          <w:p w14:paraId="33FD776F" w14:textId="0E185FD6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Corbel" w:hAnsi="Times New Roman"/>
              </w:rPr>
              <w:t xml:space="preserve">Seminar organizatoric: prezentarea obiectivelor disciplinei, a competențelor vizate, distribuirea temelor și referatelor </w:t>
            </w:r>
            <w:r w:rsidRPr="00092742">
              <w:rPr>
                <w:rFonts w:ascii="Times New Roman" w:eastAsia="TimesNewRoman" w:hAnsi="Times New Roman"/>
              </w:rPr>
              <w:t xml:space="preserve"> </w:t>
            </w:r>
          </w:p>
        </w:tc>
        <w:tc>
          <w:tcPr>
            <w:tcW w:w="874" w:type="dxa"/>
            <w:gridSpan w:val="2"/>
            <w:vAlign w:val="center"/>
          </w:tcPr>
          <w:p w14:paraId="1DDBB691" w14:textId="63A30D20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="00AB5784" w:rsidRPr="00092742" w14:paraId="41A147A3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</w:tcPr>
          <w:p w14:paraId="05B40FBB" w14:textId="77777777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742">
              <w:rPr>
                <w:rFonts w:ascii="Times New Roman" w:hAnsi="Times New Roman"/>
              </w:rPr>
              <w:t>2.</w:t>
            </w:r>
          </w:p>
        </w:tc>
        <w:tc>
          <w:tcPr>
            <w:tcW w:w="8607" w:type="dxa"/>
            <w:gridSpan w:val="2"/>
          </w:tcPr>
          <w:p w14:paraId="67CC1DCC" w14:textId="0F5823F8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it-IT"/>
              </w:rPr>
            </w:pPr>
            <w:r w:rsidRPr="00092742">
              <w:rPr>
                <w:rFonts w:ascii="Times New Roman" w:eastAsia="TimesNewRoman" w:hAnsi="Times New Roman"/>
              </w:rPr>
              <w:t>Perspective asupra argumentării. Inferență, demonstrație, explicație și argumentare</w:t>
            </w:r>
          </w:p>
        </w:tc>
        <w:tc>
          <w:tcPr>
            <w:tcW w:w="874" w:type="dxa"/>
            <w:gridSpan w:val="2"/>
            <w:vAlign w:val="center"/>
          </w:tcPr>
          <w:p w14:paraId="1CA0030A" w14:textId="603EAEE6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="00AB5784" w:rsidRPr="00092742" w14:paraId="30975062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</w:tcPr>
          <w:p w14:paraId="63460A1C" w14:textId="77777777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742">
              <w:rPr>
                <w:rFonts w:ascii="Times New Roman" w:hAnsi="Times New Roman"/>
              </w:rPr>
              <w:t>3.</w:t>
            </w:r>
          </w:p>
        </w:tc>
        <w:tc>
          <w:tcPr>
            <w:tcW w:w="8607" w:type="dxa"/>
            <w:gridSpan w:val="2"/>
          </w:tcPr>
          <w:p w14:paraId="10FEC278" w14:textId="1DB0FB5E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pt-BR"/>
              </w:rPr>
            </w:pPr>
            <w:r w:rsidRPr="00092742">
              <w:rPr>
                <w:rFonts w:ascii="Times New Roman" w:eastAsia="TimesNewRoman" w:hAnsi="Times New Roman"/>
              </w:rPr>
              <w:t>Retorică si argumentare. Comunicare, discurs, dialog, argumentare</w:t>
            </w:r>
          </w:p>
        </w:tc>
        <w:tc>
          <w:tcPr>
            <w:tcW w:w="874" w:type="dxa"/>
            <w:gridSpan w:val="2"/>
            <w:vAlign w:val="center"/>
          </w:tcPr>
          <w:p w14:paraId="18773775" w14:textId="2B60C66F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="00AB5784" w:rsidRPr="00092742" w14:paraId="4EC460B4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</w:tcPr>
          <w:p w14:paraId="37F38104" w14:textId="77777777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742">
              <w:rPr>
                <w:rFonts w:ascii="Times New Roman" w:hAnsi="Times New Roman"/>
              </w:rPr>
              <w:t>4.</w:t>
            </w:r>
          </w:p>
        </w:tc>
        <w:tc>
          <w:tcPr>
            <w:tcW w:w="8607" w:type="dxa"/>
            <w:gridSpan w:val="2"/>
          </w:tcPr>
          <w:p w14:paraId="13A93FE3" w14:textId="095510E9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Argument si non</w:t>
            </w:r>
            <w:r w:rsidR="00092742">
              <w:rPr>
                <w:rFonts w:ascii="Times New Roman" w:eastAsia="TimesNewRoman" w:hAnsi="Times New Roman"/>
              </w:rPr>
              <w:t>-</w:t>
            </w:r>
            <w:r w:rsidRPr="00092742">
              <w:rPr>
                <w:rFonts w:ascii="Times New Roman" w:eastAsia="TimesNewRoman" w:hAnsi="Times New Roman"/>
              </w:rPr>
              <w:t>argument. Indicatori argumentativi</w:t>
            </w:r>
          </w:p>
        </w:tc>
        <w:tc>
          <w:tcPr>
            <w:tcW w:w="874" w:type="dxa"/>
            <w:gridSpan w:val="2"/>
            <w:vAlign w:val="center"/>
          </w:tcPr>
          <w:p w14:paraId="5F049B3D" w14:textId="0B55B8BE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AB5784" w:rsidRPr="00092742" w14:paraId="58CF6DBE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</w:tcPr>
          <w:p w14:paraId="5EBEC8A8" w14:textId="77777777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742">
              <w:rPr>
                <w:rFonts w:ascii="Times New Roman" w:hAnsi="Times New Roman"/>
              </w:rPr>
              <w:t>5.</w:t>
            </w:r>
          </w:p>
        </w:tc>
        <w:tc>
          <w:tcPr>
            <w:tcW w:w="8607" w:type="dxa"/>
            <w:gridSpan w:val="2"/>
          </w:tcPr>
          <w:p w14:paraId="5824CB1E" w14:textId="71234F89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Reprezentarea argumentărilor la Stephen Toulmin si prin diagramele Beardsley-Thomas</w:t>
            </w:r>
          </w:p>
        </w:tc>
        <w:tc>
          <w:tcPr>
            <w:tcW w:w="874" w:type="dxa"/>
            <w:gridSpan w:val="2"/>
            <w:vAlign w:val="center"/>
          </w:tcPr>
          <w:p w14:paraId="169121EE" w14:textId="0CCB13CA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AB5784" w:rsidRPr="00092742" w14:paraId="64E74640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</w:tcPr>
          <w:p w14:paraId="28B1FA66" w14:textId="77777777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742">
              <w:rPr>
                <w:rFonts w:ascii="Times New Roman" w:hAnsi="Times New Roman"/>
              </w:rPr>
              <w:t>6.</w:t>
            </w:r>
          </w:p>
        </w:tc>
        <w:tc>
          <w:tcPr>
            <w:tcW w:w="8607" w:type="dxa"/>
            <w:gridSpan w:val="2"/>
          </w:tcPr>
          <w:p w14:paraId="4EDFF5DE" w14:textId="44291A3A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Argumentare, convingere, persuasiune si manipulare în practica discursivă; Evaluarea si capcanele argumentărilor</w:t>
            </w:r>
          </w:p>
        </w:tc>
        <w:tc>
          <w:tcPr>
            <w:tcW w:w="874" w:type="dxa"/>
            <w:gridSpan w:val="2"/>
            <w:vAlign w:val="center"/>
          </w:tcPr>
          <w:p w14:paraId="00E82530" w14:textId="7E2A2293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AB5784" w:rsidRPr="00092742" w14:paraId="35C80DE4" w14:textId="77777777" w:rsidTr="00092742">
        <w:trPr>
          <w:gridAfter w:val="2"/>
          <w:wAfter w:w="63" w:type="dxa"/>
          <w:trHeight w:val="310"/>
          <w:jc w:val="center"/>
        </w:trPr>
        <w:tc>
          <w:tcPr>
            <w:tcW w:w="850" w:type="dxa"/>
          </w:tcPr>
          <w:p w14:paraId="177EFEB6" w14:textId="77777777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742">
              <w:rPr>
                <w:rFonts w:ascii="Times New Roman" w:hAnsi="Times New Roman"/>
              </w:rPr>
              <w:t>7.</w:t>
            </w:r>
          </w:p>
        </w:tc>
        <w:tc>
          <w:tcPr>
            <w:tcW w:w="8607" w:type="dxa"/>
            <w:gridSpan w:val="2"/>
          </w:tcPr>
          <w:p w14:paraId="7DFE5BEA" w14:textId="658C189C" w:rsidR="00AB5784" w:rsidRPr="00092742" w:rsidRDefault="00AB5784" w:rsidP="00AB57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eastAsia="TimesNewRoman" w:hAnsi="Times New Roman"/>
              </w:rPr>
              <w:t>Tipuri de dezbateri</w:t>
            </w:r>
          </w:p>
        </w:tc>
        <w:tc>
          <w:tcPr>
            <w:tcW w:w="874" w:type="dxa"/>
            <w:gridSpan w:val="2"/>
            <w:vAlign w:val="center"/>
          </w:tcPr>
          <w:p w14:paraId="22190B02" w14:textId="33863881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92742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AB5784" w:rsidRPr="00092742" w14:paraId="73EE7879" w14:textId="77777777" w:rsidTr="00092742">
        <w:trPr>
          <w:gridAfter w:val="2"/>
          <w:wAfter w:w="63" w:type="dxa"/>
          <w:jc w:val="center"/>
        </w:trPr>
        <w:tc>
          <w:tcPr>
            <w:tcW w:w="850" w:type="dxa"/>
          </w:tcPr>
          <w:p w14:paraId="56C9A637" w14:textId="77777777" w:rsidR="00AB5784" w:rsidRPr="00092742" w:rsidRDefault="00AB5784" w:rsidP="00AB57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7" w:type="dxa"/>
            <w:gridSpan w:val="2"/>
          </w:tcPr>
          <w:p w14:paraId="10FA6346" w14:textId="77777777" w:rsidR="00AB5784" w:rsidRPr="00092742" w:rsidRDefault="00AB5784" w:rsidP="00AB578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092742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874" w:type="dxa"/>
            <w:gridSpan w:val="2"/>
          </w:tcPr>
          <w:p w14:paraId="70BF3F5B" w14:textId="0D10BF7A" w:rsidR="00AB5784" w:rsidRPr="00092742" w:rsidRDefault="00AB5784" w:rsidP="00AB57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92742">
              <w:rPr>
                <w:rFonts w:ascii="Times New Roman" w:hAnsi="Times New Roman"/>
                <w:b/>
              </w:rPr>
              <w:t>14</w:t>
            </w:r>
          </w:p>
        </w:tc>
      </w:tr>
      <w:tr w:rsidR="00924485" w:rsidRPr="00092742" w14:paraId="4A9FE7DB" w14:textId="77777777" w:rsidTr="00092742">
        <w:trPr>
          <w:gridAfter w:val="2"/>
          <w:wAfter w:w="63" w:type="dxa"/>
          <w:trHeight w:val="980"/>
          <w:jc w:val="center"/>
        </w:trPr>
        <w:tc>
          <w:tcPr>
            <w:tcW w:w="10331" w:type="dxa"/>
            <w:gridSpan w:val="5"/>
          </w:tcPr>
          <w:p w14:paraId="7F695DA8" w14:textId="2CF40FE7" w:rsidR="00924485" w:rsidRPr="00092742" w:rsidRDefault="1B82A3CE" w:rsidP="000B3BD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092742">
              <w:rPr>
                <w:rFonts w:ascii="Times New Roman" w:hAnsi="Times New Roman"/>
                <w:color w:val="000000" w:themeColor="text1"/>
              </w:rPr>
              <w:lastRenderedPageBreak/>
              <w:t>Bibliografie:</w:t>
            </w:r>
          </w:p>
          <w:p w14:paraId="07509160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- Andrei Marga,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Argumentarea</w:t>
            </w:r>
            <w:r w:rsidRPr="00092742">
              <w:rPr>
                <w:rFonts w:ascii="Times New Roman" w:eastAsia="TimesNewRoman" w:hAnsi="Times New Roman"/>
              </w:rPr>
              <w:t>, Editura Academiei Romane, Bucuresti, 2010;</w:t>
            </w:r>
          </w:p>
          <w:p w14:paraId="38E5CA18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- Daniela Rovența-Frumusani,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Introducere în teoria argumentării</w:t>
            </w:r>
            <w:r w:rsidRPr="00092742">
              <w:rPr>
                <w:rFonts w:ascii="Times New Roman" w:eastAsia="TimesNewRoman" w:hAnsi="Times New Roman"/>
              </w:rPr>
              <w:t>, Ed. Universității din Bucuresti, 1994;</w:t>
            </w:r>
          </w:p>
          <w:p w14:paraId="6286D9BA" w14:textId="77777777" w:rsidR="00AB5784" w:rsidRPr="00092742" w:rsidRDefault="00AB5784" w:rsidP="00AB57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- Constantin Sălăvăstru,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Teoria si practica argumentării</w:t>
            </w:r>
            <w:r w:rsidRPr="00092742">
              <w:rPr>
                <w:rFonts w:ascii="Times New Roman" w:eastAsia="TimesNewRoman" w:hAnsi="Times New Roman"/>
              </w:rPr>
              <w:t>, Editura Polirom, Iasi, 2003;</w:t>
            </w:r>
          </w:p>
          <w:p w14:paraId="54BBFB2E" w14:textId="6A260E52" w:rsidR="00924485" w:rsidRPr="00092742" w:rsidRDefault="00AB5784" w:rsidP="00970131">
            <w:pPr>
              <w:spacing w:after="0" w:line="360" w:lineRule="auto"/>
              <w:rPr>
                <w:rFonts w:ascii="Times New Roman" w:eastAsia="TimesNewRoman" w:hAnsi="Times New Roman"/>
              </w:rPr>
            </w:pPr>
            <w:r w:rsidRPr="00092742">
              <w:rPr>
                <w:rFonts w:ascii="Times New Roman" w:eastAsia="TimesNewRoman" w:hAnsi="Times New Roman"/>
              </w:rPr>
              <w:t xml:space="preserve">- Drăgan Stoianovici, </w:t>
            </w:r>
            <w:r w:rsidRPr="00092742">
              <w:rPr>
                <w:rFonts w:ascii="Times New Roman" w:eastAsia="TimesNewRoman,Italic" w:hAnsi="Times New Roman"/>
                <w:i/>
                <w:iCs/>
              </w:rPr>
              <w:t>Argumentare si gandire critică</w:t>
            </w:r>
            <w:r w:rsidRPr="00092742">
              <w:rPr>
                <w:rFonts w:ascii="Times New Roman" w:eastAsia="TimesNewRoman" w:hAnsi="Times New Roman"/>
              </w:rPr>
              <w:t>, Editura Universității din Bucuresti, Bucuresti, 2005.</w:t>
            </w:r>
          </w:p>
        </w:tc>
      </w:tr>
    </w:tbl>
    <w:p w14:paraId="2C315FAD" w14:textId="77777777" w:rsidR="00FD0711" w:rsidRPr="00092742" w:rsidRDefault="5C9719EC" w:rsidP="000B3BD0">
      <w:pPr>
        <w:spacing w:after="0" w:line="240" w:lineRule="auto"/>
        <w:rPr>
          <w:rFonts w:ascii="Times New Roman" w:hAnsi="Times New Roman"/>
          <w:b/>
        </w:rPr>
      </w:pPr>
      <w:r w:rsidRPr="00092742">
        <w:rPr>
          <w:rFonts w:ascii="Times New Roman" w:hAnsi="Times New Roman"/>
          <w:b/>
          <w:bCs/>
        </w:rPr>
        <w:t>10. Evaluare</w:t>
      </w:r>
    </w:p>
    <w:p w14:paraId="7C8D70BF" w14:textId="72C473DA" w:rsidR="5B486057" w:rsidRPr="00092742" w:rsidRDefault="5B486057" w:rsidP="5B486057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4283"/>
        <w:gridCol w:w="2193"/>
        <w:gridCol w:w="2031"/>
      </w:tblGrid>
      <w:tr w:rsidR="002A0FC9" w:rsidRPr="0007194F" w14:paraId="7D21E95E" w14:textId="77777777" w:rsidTr="5B486057">
        <w:tc>
          <w:tcPr>
            <w:tcW w:w="1949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193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03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970131" w:rsidRPr="0007194F" w14:paraId="74C75806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1902AF24" w14:textId="77777777" w:rsidR="00970131" w:rsidRPr="0007194F" w:rsidRDefault="0097013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0F9BB841" w14:textId="77777777" w:rsidR="00970131" w:rsidRPr="00092742" w:rsidRDefault="00970131" w:rsidP="00970131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ro-RO"/>
              </w:rPr>
            </w:pPr>
            <w:r w:rsidRPr="00092742">
              <w:rPr>
                <w:rFonts w:ascii="Times New Roman" w:eastAsia="Calibri" w:hAnsi="Times New Roman"/>
                <w:sz w:val="20"/>
                <w:szCs w:val="20"/>
                <w:lang w:eastAsia="ro-RO"/>
              </w:rPr>
              <w:t>Corectitudinea şi completitudinea cunoştinţelor</w:t>
            </w:r>
          </w:p>
          <w:p w14:paraId="1705B273" w14:textId="63F853BA" w:rsidR="00970131" w:rsidRPr="00092742" w:rsidRDefault="00970131" w:rsidP="009701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2742">
              <w:rPr>
                <w:rFonts w:ascii="Times New Roman" w:eastAsia="Calibri" w:hAnsi="Times New Roman"/>
                <w:sz w:val="20"/>
                <w:szCs w:val="20"/>
                <w:lang w:val="it-IT" w:eastAsia="ro-RO"/>
              </w:rPr>
              <w:t>Capacitatea de a sintetiza şi aplica cunoştinţele teoretice</w:t>
            </w:r>
          </w:p>
        </w:tc>
        <w:tc>
          <w:tcPr>
            <w:tcW w:w="2193" w:type="dxa"/>
            <w:vMerge w:val="restart"/>
          </w:tcPr>
          <w:p w14:paraId="37D48A63" w14:textId="77777777" w:rsidR="00970131" w:rsidRDefault="00970131" w:rsidP="5B48605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14:paraId="509BAC5C" w14:textId="02169812" w:rsidR="00970131" w:rsidRPr="004671D0" w:rsidRDefault="00970131" w:rsidP="5B48605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 w:rsidRPr="00ED1F96">
              <w:rPr>
                <w:rFonts w:ascii="Arial" w:hAnsi="Arial" w:cs="Arial"/>
                <w:sz w:val="18"/>
                <w:szCs w:val="18"/>
                <w:lang w:eastAsia="ro-RO"/>
              </w:rPr>
              <w:t>Evaluare scrisă finală</w:t>
            </w:r>
          </w:p>
        </w:tc>
        <w:tc>
          <w:tcPr>
            <w:tcW w:w="2031" w:type="dxa"/>
            <w:vMerge w:val="restart"/>
          </w:tcPr>
          <w:p w14:paraId="643DB3E2" w14:textId="77777777" w:rsidR="00970131" w:rsidRDefault="00970131" w:rsidP="000B3B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14:paraId="3E021AA3" w14:textId="77777777" w:rsidR="00970131" w:rsidRDefault="00970131" w:rsidP="000B3B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14:paraId="7F30234E" w14:textId="2E2AE0E2" w:rsidR="00970131" w:rsidRPr="004671D0" w:rsidRDefault="0097013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1F96">
              <w:rPr>
                <w:rFonts w:ascii="Arial" w:hAnsi="Arial" w:cs="Arial"/>
                <w:sz w:val="18"/>
                <w:szCs w:val="18"/>
                <w:lang w:eastAsia="ro-RO"/>
              </w:rPr>
              <w:t>30%</w:t>
            </w:r>
          </w:p>
        </w:tc>
      </w:tr>
      <w:tr w:rsidR="00970131" w:rsidRPr="0007194F" w14:paraId="53BD5912" w14:textId="77777777" w:rsidTr="009D7C60">
        <w:trPr>
          <w:trHeight w:val="445"/>
        </w:trPr>
        <w:tc>
          <w:tcPr>
            <w:tcW w:w="1949" w:type="dxa"/>
            <w:vMerge/>
            <w:tcBorders>
              <w:bottom w:val="single" w:sz="4" w:space="0" w:color="auto"/>
            </w:tcBorders>
          </w:tcPr>
          <w:p w14:paraId="5EE373E2" w14:textId="77777777" w:rsidR="00970131" w:rsidRPr="0007194F" w:rsidRDefault="0097013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EA716D" w14:textId="77777777" w:rsidR="00970131" w:rsidRPr="00092742" w:rsidRDefault="00970131" w:rsidP="00970131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</w:pPr>
            <w:proofErr w:type="spellStart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>Utilizarea</w:t>
            </w:r>
            <w:proofErr w:type="spellEnd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>limbajului</w:t>
            </w:r>
            <w:proofErr w:type="spellEnd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 xml:space="preserve"> de </w:t>
            </w:r>
            <w:proofErr w:type="spellStart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>specialitate</w:t>
            </w:r>
            <w:proofErr w:type="spellEnd"/>
          </w:p>
          <w:p w14:paraId="56E188D4" w14:textId="090E3074" w:rsidR="00970131" w:rsidRPr="00092742" w:rsidRDefault="00970131" w:rsidP="009701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>Coerenţa</w:t>
            </w:r>
            <w:proofErr w:type="spellEnd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092742">
              <w:rPr>
                <w:rFonts w:ascii="Times New Roman" w:eastAsia="Calibri" w:hAnsi="Times New Roman"/>
                <w:sz w:val="20"/>
                <w:szCs w:val="20"/>
                <w:lang w:val="fr-FR" w:eastAsia="ro-RO"/>
              </w:rPr>
              <w:t>logică</w:t>
            </w:r>
            <w:proofErr w:type="spellEnd"/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254B2427" w14:textId="04E0E42D" w:rsidR="00970131" w:rsidRPr="004671D0" w:rsidRDefault="0097013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  <w:vMerge/>
            <w:tcBorders>
              <w:bottom w:val="single" w:sz="4" w:space="0" w:color="auto"/>
            </w:tcBorders>
          </w:tcPr>
          <w:p w14:paraId="4EB6BEAA" w14:textId="428F6725" w:rsidR="00970131" w:rsidRPr="004671D0" w:rsidRDefault="0097013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70131" w:rsidRPr="0007194F" w14:paraId="0F7F8DD7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5AF7BC1E" w14:textId="6727C763" w:rsidR="00970131" w:rsidRPr="0007194F" w:rsidRDefault="0097013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eminar 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laborator / proiect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4F8E3443" w14:textId="77777777" w:rsidR="00970131" w:rsidRPr="00092742" w:rsidRDefault="00970131" w:rsidP="009701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 w:eastAsia="ro-RO"/>
              </w:rPr>
              <w:t>Participare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 w:eastAsia="ro-RO"/>
              </w:rPr>
              <w:t>activă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 w:eastAsia="ro-RO"/>
              </w:rPr>
              <w:t xml:space="preserve"> la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 w:eastAsia="ro-RO"/>
              </w:rPr>
              <w:t>activităţile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 w:eastAsia="ro-RO"/>
              </w:rPr>
              <w:t xml:space="preserve"> de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 w:eastAsia="ro-RO"/>
              </w:rPr>
              <w:t>seminar</w:t>
            </w:r>
            <w:proofErr w:type="spellEnd"/>
          </w:p>
          <w:p w14:paraId="1D77BC7E" w14:textId="77777777" w:rsidR="00970131" w:rsidRPr="00092742" w:rsidRDefault="00970131" w:rsidP="009701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92742">
              <w:rPr>
                <w:rFonts w:ascii="Times New Roman" w:hAnsi="Times New Roman"/>
                <w:sz w:val="20"/>
                <w:szCs w:val="20"/>
                <w:lang w:val="it-IT"/>
              </w:rPr>
              <w:t>Corectitudine în rezolvarea sarcinilor</w:t>
            </w:r>
          </w:p>
          <w:p w14:paraId="1586F28F" w14:textId="77777777" w:rsidR="00970131" w:rsidRPr="00092742" w:rsidRDefault="00970131" w:rsidP="009701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92742">
              <w:rPr>
                <w:rFonts w:ascii="Times New Roman" w:hAnsi="Times New Roman"/>
                <w:sz w:val="20"/>
                <w:szCs w:val="20"/>
                <w:lang w:val="it-IT"/>
              </w:rPr>
              <w:t>Rezolvarea temelor propuse la seminar, oral şi în scris</w:t>
            </w:r>
          </w:p>
          <w:p w14:paraId="6CF8B18C" w14:textId="3B354A30" w:rsidR="00970131" w:rsidRPr="00092742" w:rsidRDefault="00970131" w:rsidP="009701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742">
              <w:rPr>
                <w:rFonts w:ascii="Times New Roman" w:hAnsi="Times New Roman"/>
                <w:sz w:val="20"/>
                <w:szCs w:val="20"/>
                <w:lang w:val="it-IT"/>
              </w:rPr>
              <w:t>Evaluare periodică scrisă</w:t>
            </w:r>
          </w:p>
        </w:tc>
        <w:tc>
          <w:tcPr>
            <w:tcW w:w="2193" w:type="dxa"/>
            <w:vMerge w:val="restart"/>
          </w:tcPr>
          <w:p w14:paraId="431257D8" w14:textId="77777777" w:rsidR="00970131" w:rsidRDefault="00970131" w:rsidP="0097013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14:paraId="7D4EB964" w14:textId="6FCDBE81" w:rsidR="00970131" w:rsidRPr="00ED1F96" w:rsidRDefault="00970131" w:rsidP="0097013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ED1F96">
              <w:rPr>
                <w:rFonts w:ascii="Arial" w:hAnsi="Arial" w:cs="Arial"/>
                <w:sz w:val="18"/>
                <w:szCs w:val="18"/>
                <w:lang w:eastAsia="ro-RO"/>
              </w:rPr>
              <w:t>Evaluare scrisă și  orală</w:t>
            </w:r>
          </w:p>
          <w:p w14:paraId="1BC04238" w14:textId="11BF176F" w:rsidR="00970131" w:rsidRPr="004671D0" w:rsidRDefault="0097013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  <w:vMerge w:val="restart"/>
          </w:tcPr>
          <w:p w14:paraId="30A5BD1C" w14:textId="77777777" w:rsidR="00970131" w:rsidRDefault="0097013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089FF20D" w14:textId="77777777" w:rsidR="00970131" w:rsidRDefault="0097013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39B929A6" w14:textId="304D40C2" w:rsidR="00970131" w:rsidRPr="004671D0" w:rsidRDefault="0097013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7</w:t>
            </w:r>
            <w:r w:rsidRPr="00ED1F96">
              <w:rPr>
                <w:rFonts w:ascii="Arial" w:hAnsi="Arial" w:cs="Arial"/>
                <w:sz w:val="18"/>
                <w:szCs w:val="18"/>
                <w:lang w:eastAsia="ro-RO"/>
              </w:rPr>
              <w:t>0%</w:t>
            </w:r>
          </w:p>
        </w:tc>
      </w:tr>
      <w:tr w:rsidR="00970131" w:rsidRPr="0007194F" w14:paraId="2B4116DF" w14:textId="77777777" w:rsidTr="5B486057">
        <w:trPr>
          <w:trHeight w:val="135"/>
        </w:trPr>
        <w:tc>
          <w:tcPr>
            <w:tcW w:w="1949" w:type="dxa"/>
            <w:vMerge/>
          </w:tcPr>
          <w:p w14:paraId="2B711DFD" w14:textId="77777777" w:rsidR="00970131" w:rsidRPr="0007194F" w:rsidRDefault="0097013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D9D9D9" w:themeFill="background1" w:themeFillShade="D9"/>
          </w:tcPr>
          <w:p w14:paraId="383B3D50" w14:textId="77777777" w:rsidR="00970131" w:rsidRPr="00092742" w:rsidRDefault="00970131" w:rsidP="009701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>Referat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>individual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>pornind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>temele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>propuse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>cadrul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>didactic</w:t>
            </w:r>
            <w:proofErr w:type="spellEnd"/>
            <w:r w:rsidRPr="0009274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 w14:paraId="2D98452F" w14:textId="53ABE959" w:rsidR="00970131" w:rsidRPr="00092742" w:rsidRDefault="00970131" w:rsidP="009701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2742">
              <w:rPr>
                <w:rFonts w:ascii="Times New Roman" w:hAnsi="Times New Roman"/>
                <w:sz w:val="20"/>
                <w:szCs w:val="20"/>
                <w:lang w:val="it-IT"/>
              </w:rPr>
              <w:t>Capacitatea de a aplica noţiunile teoretice  în situaţii reale de comunicare</w:t>
            </w:r>
          </w:p>
        </w:tc>
        <w:tc>
          <w:tcPr>
            <w:tcW w:w="2193" w:type="dxa"/>
            <w:vMerge/>
          </w:tcPr>
          <w:p w14:paraId="45A2E07C" w14:textId="7BEE34B6" w:rsidR="00970131" w:rsidRPr="004671D0" w:rsidRDefault="0097013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  <w:vMerge/>
          </w:tcPr>
          <w:p w14:paraId="148AC8AB" w14:textId="3545D376" w:rsidR="00970131" w:rsidRPr="004671D0" w:rsidRDefault="0097013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5165E411" w14:textId="31C0D269" w:rsidR="00072B00" w:rsidRPr="00970131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970131">
              <w:rPr>
                <w:rFonts w:ascii="Times New Roman" w:hAnsi="Times New Roman"/>
                <w:sz w:val="24"/>
                <w:szCs w:val="24"/>
              </w:rPr>
              <w:t>ț</w:t>
            </w:r>
            <w:r w:rsidRPr="00970131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970131">
              <w:rPr>
                <w:rFonts w:ascii="Times New Roman" w:hAnsi="Times New Roman"/>
                <w:sz w:val="24"/>
                <w:szCs w:val="24"/>
              </w:rPr>
              <w:t>.</w:t>
            </w:r>
            <w:r w:rsidR="00536B72" w:rsidRPr="00970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B209DE" w14:textId="2A435F51" w:rsidR="00F054FF" w:rsidRPr="00970131" w:rsidRDefault="00072B00" w:rsidP="000B3BD0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color w:val="92D050"/>
              </w:rPr>
            </w:pPr>
            <w:r w:rsidRPr="00970131">
              <w:t>Ob</w:t>
            </w:r>
            <w:r w:rsidR="001B1709" w:rsidRPr="00970131">
              <w:t>ț</w:t>
            </w:r>
            <w:r w:rsidRPr="00970131">
              <w:t>inerea a 50% din punctajul aferent activită</w:t>
            </w:r>
            <w:r w:rsidR="001B1709" w:rsidRPr="00970131">
              <w:t>ț</w:t>
            </w:r>
            <w:r w:rsidRPr="00970131">
              <w:t>ii pe parcurs</w:t>
            </w:r>
            <w:r w:rsidR="003C6DC8" w:rsidRPr="00970131">
              <w:t>ul semestrului</w:t>
            </w:r>
            <w:r w:rsidR="00F054FF" w:rsidRPr="00970131">
              <w:t>.</w:t>
            </w:r>
          </w:p>
          <w:p w14:paraId="0253BF57" w14:textId="19B24F6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0D7B7C9" w14:textId="77777777" w:rsidR="00DC450D" w:rsidRPr="004671D0" w:rsidRDefault="00DC450D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5F83081C" w14:textId="66A78585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Data completării</w:t>
            </w:r>
            <w:r w:rsidR="00536B72" w:rsidRPr="00970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0131" w:rsidRPr="00970131"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</w:tcPr>
          <w:p w14:paraId="169F6AC2" w14:textId="63464212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0DFCF1DB" w:rsidR="003C6DC8" w:rsidRPr="00970131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982" w:type="dxa"/>
          </w:tcPr>
          <w:p w14:paraId="2E39C173" w14:textId="1961A7B9" w:rsidR="003C6DC8" w:rsidRPr="00970131" w:rsidRDefault="00072B00" w:rsidP="00970131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 w:rsidRPr="00970131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 w:rsidRPr="0097013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 w:rsidRPr="00970131">
              <w:rPr>
                <w:rFonts w:ascii="Times New Roman" w:hAnsi="Times New Roman"/>
                <w:sz w:val="24"/>
                <w:szCs w:val="24"/>
              </w:rPr>
              <w:t>)</w:t>
            </w:r>
            <w:r w:rsidRPr="00970131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 w:rsidRPr="00970131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1DBE9834" w14:textId="77777777" w:rsidR="00970131" w:rsidRPr="00970131" w:rsidRDefault="00970131" w:rsidP="00970131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</w:pPr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Conf.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Manea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Camelia</w:t>
            </w:r>
            <w:proofErr w:type="spellEnd"/>
          </w:p>
          <w:p w14:paraId="32CE3FC6" w14:textId="33E1D071" w:rsidR="00072B00" w:rsidRPr="00970131" w:rsidRDefault="00970131" w:rsidP="00970131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Lect.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Bogdan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Georgescu</w:t>
            </w:r>
            <w:proofErr w:type="spellEnd"/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790658D0" w14:textId="77777777" w:rsidR="00970131" w:rsidRPr="00970131" w:rsidRDefault="00970131" w:rsidP="00970131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</w:pPr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Conf.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Manea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Camelia</w:t>
            </w:r>
            <w:proofErr w:type="spellEnd"/>
          </w:p>
          <w:p w14:paraId="2D7154D7" w14:textId="038A14A2" w:rsidR="00072B00" w:rsidRPr="00970131" w:rsidRDefault="00970131" w:rsidP="00970131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Lect.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univ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dr</w:t>
            </w:r>
            <w:proofErr w:type="spellEnd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 xml:space="preserve">. Bogdan </w:t>
            </w:r>
            <w:proofErr w:type="spellStart"/>
            <w:r w:rsidRPr="00970131">
              <w:rPr>
                <w:rFonts w:ascii="Times New Roman" w:eastAsia="Calibri" w:hAnsi="Times New Roman"/>
                <w:sz w:val="24"/>
                <w:szCs w:val="24"/>
                <w:lang w:val="fr-FR" w:eastAsia="ro-RO"/>
              </w:rPr>
              <w:t>Georgescu</w:t>
            </w:r>
            <w:proofErr w:type="spellEnd"/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562E954C" w14:textId="5A094733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970131" w:rsidRPr="00970131">
              <w:rPr>
                <w:rFonts w:ascii="Times New Roman" w:hAnsi="Times New Roman"/>
                <w:sz w:val="24"/>
                <w:szCs w:val="24"/>
              </w:rPr>
              <w:t xml:space="preserve"> 30.09.2025</w:t>
            </w:r>
            <w:r w:rsidR="00B4650B" w:rsidRPr="00970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</w:tcPr>
          <w:p w14:paraId="56E69400" w14:textId="29C75848" w:rsidR="00072B00" w:rsidRPr="0097013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09CF9E52" w14:textId="77777777" w:rsidR="003C6DC8" w:rsidRPr="00970131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97EC3C" w14:textId="09AEA8F5" w:rsidR="00FB6888" w:rsidRPr="00970131" w:rsidRDefault="00970131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eastAsia="Calibri" w:hAnsi="Times New Roman"/>
                <w:bCs/>
                <w:sz w:val="24"/>
                <w:szCs w:val="24"/>
                <w:lang w:val="pt-BR" w:eastAsia="ro-RO"/>
              </w:rPr>
              <w:t>Conf. Univ. Dr. STAN Maria Magdalena</w:t>
            </w:r>
            <w:r w:rsidR="00FB6888" w:rsidRPr="00970131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14:paraId="49BB8357" w14:textId="1808CC72" w:rsidR="00FB6888" w:rsidRPr="00970131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Pr="0097013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Pr="00970131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342290E3" w:rsidR="003075CA" w:rsidRPr="00970131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2EC06A0A" w:rsidR="003075CA" w:rsidRPr="00970131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970131">
              <w:rPr>
                <w:rFonts w:ascii="Times New Roman" w:hAnsi="Times New Roman"/>
                <w:sz w:val="24"/>
                <w:szCs w:val="24"/>
              </w:rPr>
              <w:t>Decan</w:t>
            </w:r>
          </w:p>
          <w:p w14:paraId="4AB3D3F4" w14:textId="4DE0DCA6" w:rsidR="003075CA" w:rsidRPr="00970131" w:rsidRDefault="00970131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Langa Claudiu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E0DF" w14:textId="77777777" w:rsidR="00D23905" w:rsidRDefault="00D23905" w:rsidP="006B0230">
      <w:pPr>
        <w:spacing w:after="0" w:line="240" w:lineRule="auto"/>
      </w:pPr>
      <w:r>
        <w:separator/>
      </w:r>
    </w:p>
  </w:endnote>
  <w:endnote w:type="continuationSeparator" w:id="0">
    <w:p w14:paraId="0BCE5C74" w14:textId="77777777" w:rsidR="00D23905" w:rsidRDefault="00D23905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EA51" w14:textId="77777777" w:rsidR="00D23905" w:rsidRDefault="00D23905" w:rsidP="006B0230">
      <w:pPr>
        <w:spacing w:after="0" w:line="240" w:lineRule="auto"/>
      </w:pPr>
      <w:r>
        <w:separator/>
      </w:r>
    </w:p>
  </w:footnote>
  <w:footnote w:type="continuationSeparator" w:id="0">
    <w:p w14:paraId="1F853578" w14:textId="77777777" w:rsidR="00D23905" w:rsidRDefault="00D23905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080"/>
      <w:gridCol w:w="7580"/>
      <w:gridCol w:w="171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shd w:val="clear" w:color="auto" w:fill="auto"/>
          <w:vAlign w:val="center"/>
        </w:tcPr>
        <w:p w14:paraId="400B37D6" w14:textId="3A1CD927" w:rsidR="00D27462" w:rsidRPr="00504204" w:rsidRDefault="00D27462" w:rsidP="00563549">
          <w:pPr>
            <w:pStyle w:val="Antet"/>
            <w:spacing w:after="0"/>
          </w:pPr>
        </w:p>
      </w:tc>
      <w:tc>
        <w:tcPr>
          <w:tcW w:w="3732" w:type="pct"/>
          <w:shd w:val="clear" w:color="auto" w:fill="auto"/>
          <w:vAlign w:val="center"/>
        </w:tcPr>
        <w:p w14:paraId="0969E40A" w14:textId="2E05D220" w:rsidR="00D27462" w:rsidRPr="001249D6" w:rsidRDefault="00D27462" w:rsidP="00D27462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10B7336F" w:rsidR="00D27462" w:rsidRPr="00A97B4B" w:rsidRDefault="00D27462" w:rsidP="00A97B4B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D2CB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 </w:t>
          </w:r>
        </w:p>
      </w:tc>
      <w:tc>
        <w:tcPr>
          <w:tcW w:w="668" w:type="pct"/>
          <w:shd w:val="clear" w:color="auto" w:fill="auto"/>
          <w:vAlign w:val="center"/>
        </w:tcPr>
        <w:p w14:paraId="1F52E6CC" w14:textId="18CABAAF" w:rsidR="00D27462" w:rsidRPr="00504204" w:rsidRDefault="00CD2CB3" w:rsidP="00D27462">
          <w:pPr>
            <w:pStyle w:val="Antet"/>
            <w:spacing w:after="0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29F65364" wp14:editId="2ED6815E">
                <wp:extent cx="944880" cy="944880"/>
                <wp:effectExtent l="0" t="0" r="7620" b="762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944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FFC0D45" w14:textId="7FC39278" w:rsidR="006B0230" w:rsidRDefault="00042830" w:rsidP="00563549">
    <w:pPr>
      <w:pStyle w:val="Antet"/>
      <w:tabs>
        <w:tab w:val="clear" w:pos="4680"/>
        <w:tab w:val="clear" w:pos="9360"/>
        <w:tab w:val="left" w:pos="3583"/>
      </w:tabs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53AA076" wp14:editId="28D97853">
          <wp:simplePos x="0" y="0"/>
          <wp:positionH relativeFrom="margin">
            <wp:posOffset>-152400</wp:posOffset>
          </wp:positionH>
          <wp:positionV relativeFrom="paragraph">
            <wp:posOffset>-184785</wp:posOffset>
          </wp:positionV>
          <wp:extent cx="937260" cy="937260"/>
          <wp:effectExtent l="0" t="0" r="0" b="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37260" cy="937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6D2279"/>
    <w:multiLevelType w:val="multilevel"/>
    <w:tmpl w:val="6BC26E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18"/>
  </w:num>
  <w:num w:numId="5">
    <w:abstractNumId w:val="14"/>
  </w:num>
  <w:num w:numId="6">
    <w:abstractNumId w:val="1"/>
  </w:num>
  <w:num w:numId="7">
    <w:abstractNumId w:val="3"/>
  </w:num>
  <w:num w:numId="8">
    <w:abstractNumId w:val="10"/>
  </w:num>
  <w:num w:numId="9">
    <w:abstractNumId w:val="23"/>
  </w:num>
  <w:num w:numId="10">
    <w:abstractNumId w:val="11"/>
  </w:num>
  <w:num w:numId="11">
    <w:abstractNumId w:val="4"/>
  </w:num>
  <w:num w:numId="12">
    <w:abstractNumId w:val="20"/>
  </w:num>
  <w:num w:numId="13">
    <w:abstractNumId w:val="15"/>
  </w:num>
  <w:num w:numId="14">
    <w:abstractNumId w:val="17"/>
  </w:num>
  <w:num w:numId="15">
    <w:abstractNumId w:val="16"/>
  </w:num>
  <w:num w:numId="16">
    <w:abstractNumId w:val="7"/>
  </w:num>
  <w:num w:numId="17">
    <w:abstractNumId w:val="2"/>
  </w:num>
  <w:num w:numId="18">
    <w:abstractNumId w:val="19"/>
  </w:num>
  <w:num w:numId="19">
    <w:abstractNumId w:val="8"/>
  </w:num>
  <w:num w:numId="20">
    <w:abstractNumId w:val="21"/>
  </w:num>
  <w:num w:numId="21">
    <w:abstractNumId w:val="5"/>
  </w:num>
  <w:num w:numId="22">
    <w:abstractNumId w:val="24"/>
  </w:num>
  <w:num w:numId="23">
    <w:abstractNumId w:val="6"/>
  </w:num>
  <w:num w:numId="24">
    <w:abstractNumId w:val="2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22CB8"/>
    <w:rsid w:val="00024FEB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92742"/>
    <w:rsid w:val="000A5A59"/>
    <w:rsid w:val="000B053A"/>
    <w:rsid w:val="000B1429"/>
    <w:rsid w:val="000B3BD0"/>
    <w:rsid w:val="000C2BD3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6B06"/>
    <w:rsid w:val="00140EB3"/>
    <w:rsid w:val="00155123"/>
    <w:rsid w:val="00161CC5"/>
    <w:rsid w:val="00182C22"/>
    <w:rsid w:val="001878EA"/>
    <w:rsid w:val="00196FD8"/>
    <w:rsid w:val="001973D7"/>
    <w:rsid w:val="001A6CC3"/>
    <w:rsid w:val="001A7391"/>
    <w:rsid w:val="001B1709"/>
    <w:rsid w:val="001B1D5F"/>
    <w:rsid w:val="001B2D42"/>
    <w:rsid w:val="001B6453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4397"/>
    <w:rsid w:val="0020512B"/>
    <w:rsid w:val="00207A26"/>
    <w:rsid w:val="00213BFC"/>
    <w:rsid w:val="0021418D"/>
    <w:rsid w:val="00225272"/>
    <w:rsid w:val="00241E04"/>
    <w:rsid w:val="00246F30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3075CA"/>
    <w:rsid w:val="00323BAF"/>
    <w:rsid w:val="00324AAD"/>
    <w:rsid w:val="00333131"/>
    <w:rsid w:val="003341B8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D76"/>
    <w:rsid w:val="00414517"/>
    <w:rsid w:val="00417B1C"/>
    <w:rsid w:val="0042161F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F426F"/>
    <w:rsid w:val="004F6CD3"/>
    <w:rsid w:val="005013E2"/>
    <w:rsid w:val="00502C98"/>
    <w:rsid w:val="00530A49"/>
    <w:rsid w:val="00532F3D"/>
    <w:rsid w:val="00533EB9"/>
    <w:rsid w:val="00536B72"/>
    <w:rsid w:val="00563549"/>
    <w:rsid w:val="00576EC0"/>
    <w:rsid w:val="0058346F"/>
    <w:rsid w:val="00587DCE"/>
    <w:rsid w:val="005976E7"/>
    <w:rsid w:val="005A12E1"/>
    <w:rsid w:val="005A4B4E"/>
    <w:rsid w:val="005B402D"/>
    <w:rsid w:val="005C23EC"/>
    <w:rsid w:val="005D2AE2"/>
    <w:rsid w:val="005D517E"/>
    <w:rsid w:val="005E20A7"/>
    <w:rsid w:val="006075EF"/>
    <w:rsid w:val="00625BC5"/>
    <w:rsid w:val="00630381"/>
    <w:rsid w:val="00637494"/>
    <w:rsid w:val="00637B47"/>
    <w:rsid w:val="00640429"/>
    <w:rsid w:val="0065472F"/>
    <w:rsid w:val="00656530"/>
    <w:rsid w:val="00656C36"/>
    <w:rsid w:val="006577CD"/>
    <w:rsid w:val="00660A65"/>
    <w:rsid w:val="00663268"/>
    <w:rsid w:val="00663D99"/>
    <w:rsid w:val="006743B2"/>
    <w:rsid w:val="00681037"/>
    <w:rsid w:val="00683986"/>
    <w:rsid w:val="006870FE"/>
    <w:rsid w:val="00690032"/>
    <w:rsid w:val="00696A5C"/>
    <w:rsid w:val="006A175C"/>
    <w:rsid w:val="006B0230"/>
    <w:rsid w:val="006B04FD"/>
    <w:rsid w:val="006B58D1"/>
    <w:rsid w:val="006C2433"/>
    <w:rsid w:val="006D061F"/>
    <w:rsid w:val="006D3895"/>
    <w:rsid w:val="006D4492"/>
    <w:rsid w:val="006D5864"/>
    <w:rsid w:val="006E2D3A"/>
    <w:rsid w:val="006E4561"/>
    <w:rsid w:val="006E7AB8"/>
    <w:rsid w:val="006F3F6C"/>
    <w:rsid w:val="006F64C6"/>
    <w:rsid w:val="00700487"/>
    <w:rsid w:val="0070274F"/>
    <w:rsid w:val="00704B23"/>
    <w:rsid w:val="00706197"/>
    <w:rsid w:val="007122B4"/>
    <w:rsid w:val="007209ED"/>
    <w:rsid w:val="00723DB0"/>
    <w:rsid w:val="00730CEE"/>
    <w:rsid w:val="00733BD4"/>
    <w:rsid w:val="007449F1"/>
    <w:rsid w:val="007459BE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2369"/>
    <w:rsid w:val="007C374C"/>
    <w:rsid w:val="007C3E40"/>
    <w:rsid w:val="007C6BB6"/>
    <w:rsid w:val="007D54AA"/>
    <w:rsid w:val="007D57DE"/>
    <w:rsid w:val="007E723C"/>
    <w:rsid w:val="007F393B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26E0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0A77"/>
    <w:rsid w:val="00881875"/>
    <w:rsid w:val="00884244"/>
    <w:rsid w:val="00897094"/>
    <w:rsid w:val="00897E4F"/>
    <w:rsid w:val="008A1E7A"/>
    <w:rsid w:val="008A7114"/>
    <w:rsid w:val="008B4A1F"/>
    <w:rsid w:val="008B5BEA"/>
    <w:rsid w:val="008D1A77"/>
    <w:rsid w:val="008D49B5"/>
    <w:rsid w:val="008D7937"/>
    <w:rsid w:val="008E4BB6"/>
    <w:rsid w:val="008E51C6"/>
    <w:rsid w:val="008E5CBA"/>
    <w:rsid w:val="008E6270"/>
    <w:rsid w:val="008F44F6"/>
    <w:rsid w:val="008F48E0"/>
    <w:rsid w:val="00912246"/>
    <w:rsid w:val="0091383B"/>
    <w:rsid w:val="00916D13"/>
    <w:rsid w:val="00924485"/>
    <w:rsid w:val="00926C0E"/>
    <w:rsid w:val="00930CE9"/>
    <w:rsid w:val="0094747F"/>
    <w:rsid w:val="00962A3E"/>
    <w:rsid w:val="00970131"/>
    <w:rsid w:val="009739F4"/>
    <w:rsid w:val="00975323"/>
    <w:rsid w:val="00987DA3"/>
    <w:rsid w:val="00994E0F"/>
    <w:rsid w:val="009A162C"/>
    <w:rsid w:val="009A64D0"/>
    <w:rsid w:val="009B0688"/>
    <w:rsid w:val="009B449A"/>
    <w:rsid w:val="009C1184"/>
    <w:rsid w:val="009C6E3E"/>
    <w:rsid w:val="009E64C2"/>
    <w:rsid w:val="009E6519"/>
    <w:rsid w:val="009F003A"/>
    <w:rsid w:val="009F2776"/>
    <w:rsid w:val="009F3B07"/>
    <w:rsid w:val="00A07E71"/>
    <w:rsid w:val="00A1052A"/>
    <w:rsid w:val="00A1304B"/>
    <w:rsid w:val="00A225CE"/>
    <w:rsid w:val="00A22F09"/>
    <w:rsid w:val="00A251A3"/>
    <w:rsid w:val="00A26298"/>
    <w:rsid w:val="00A26CB8"/>
    <w:rsid w:val="00A32B38"/>
    <w:rsid w:val="00A343BA"/>
    <w:rsid w:val="00A352F6"/>
    <w:rsid w:val="00A36A0C"/>
    <w:rsid w:val="00A4486F"/>
    <w:rsid w:val="00A45D21"/>
    <w:rsid w:val="00A5014E"/>
    <w:rsid w:val="00A528C7"/>
    <w:rsid w:val="00A637BC"/>
    <w:rsid w:val="00A655E6"/>
    <w:rsid w:val="00A74205"/>
    <w:rsid w:val="00A7555C"/>
    <w:rsid w:val="00A76F8E"/>
    <w:rsid w:val="00A77251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B5784"/>
    <w:rsid w:val="00AD46A4"/>
    <w:rsid w:val="00AD48B4"/>
    <w:rsid w:val="00AD6760"/>
    <w:rsid w:val="00AE0EFD"/>
    <w:rsid w:val="00B10D77"/>
    <w:rsid w:val="00B13421"/>
    <w:rsid w:val="00B33D7D"/>
    <w:rsid w:val="00B4650B"/>
    <w:rsid w:val="00B53C95"/>
    <w:rsid w:val="00B54B49"/>
    <w:rsid w:val="00B559AB"/>
    <w:rsid w:val="00B609FA"/>
    <w:rsid w:val="00B7109F"/>
    <w:rsid w:val="00B7391E"/>
    <w:rsid w:val="00B73B3D"/>
    <w:rsid w:val="00B84043"/>
    <w:rsid w:val="00B91DB1"/>
    <w:rsid w:val="00B95F96"/>
    <w:rsid w:val="00B96466"/>
    <w:rsid w:val="00B97DD5"/>
    <w:rsid w:val="00BA0EDC"/>
    <w:rsid w:val="00BB50D8"/>
    <w:rsid w:val="00BC246B"/>
    <w:rsid w:val="00BC54CA"/>
    <w:rsid w:val="00BD7432"/>
    <w:rsid w:val="00BE0C98"/>
    <w:rsid w:val="00C016EB"/>
    <w:rsid w:val="00C036D6"/>
    <w:rsid w:val="00C116E4"/>
    <w:rsid w:val="00C1183D"/>
    <w:rsid w:val="00C14143"/>
    <w:rsid w:val="00C1599F"/>
    <w:rsid w:val="00C26673"/>
    <w:rsid w:val="00C33B75"/>
    <w:rsid w:val="00C36E73"/>
    <w:rsid w:val="00C37AFA"/>
    <w:rsid w:val="00C424BD"/>
    <w:rsid w:val="00C62788"/>
    <w:rsid w:val="00C62D93"/>
    <w:rsid w:val="00C766FA"/>
    <w:rsid w:val="00C83775"/>
    <w:rsid w:val="00C85494"/>
    <w:rsid w:val="00C85AC1"/>
    <w:rsid w:val="00CA20BB"/>
    <w:rsid w:val="00CA4954"/>
    <w:rsid w:val="00CA7575"/>
    <w:rsid w:val="00CB5500"/>
    <w:rsid w:val="00CB707D"/>
    <w:rsid w:val="00CB7DA8"/>
    <w:rsid w:val="00CC09F3"/>
    <w:rsid w:val="00CC6774"/>
    <w:rsid w:val="00CD05ED"/>
    <w:rsid w:val="00CD2CB3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3905"/>
    <w:rsid w:val="00D25D2D"/>
    <w:rsid w:val="00D27462"/>
    <w:rsid w:val="00D277F5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62F"/>
    <w:rsid w:val="00D618A9"/>
    <w:rsid w:val="00D7773C"/>
    <w:rsid w:val="00D82786"/>
    <w:rsid w:val="00D85A8D"/>
    <w:rsid w:val="00D87395"/>
    <w:rsid w:val="00DA174F"/>
    <w:rsid w:val="00DA433D"/>
    <w:rsid w:val="00DB2E68"/>
    <w:rsid w:val="00DC2572"/>
    <w:rsid w:val="00DC450D"/>
    <w:rsid w:val="00DC67BF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212DD"/>
    <w:rsid w:val="00E31041"/>
    <w:rsid w:val="00E3142E"/>
    <w:rsid w:val="00E352FA"/>
    <w:rsid w:val="00E437C3"/>
    <w:rsid w:val="00E5213F"/>
    <w:rsid w:val="00E54FDB"/>
    <w:rsid w:val="00E56AA2"/>
    <w:rsid w:val="00E6114C"/>
    <w:rsid w:val="00E70E1A"/>
    <w:rsid w:val="00E71898"/>
    <w:rsid w:val="00E80DB9"/>
    <w:rsid w:val="00E824C5"/>
    <w:rsid w:val="00E855E1"/>
    <w:rsid w:val="00E85C51"/>
    <w:rsid w:val="00E87AFB"/>
    <w:rsid w:val="00E91F96"/>
    <w:rsid w:val="00EA0AA9"/>
    <w:rsid w:val="00EA35DA"/>
    <w:rsid w:val="00EB1368"/>
    <w:rsid w:val="00EB7A7B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54FF"/>
    <w:rsid w:val="00F10B46"/>
    <w:rsid w:val="00F15C49"/>
    <w:rsid w:val="00F232D5"/>
    <w:rsid w:val="00F27495"/>
    <w:rsid w:val="00F31C12"/>
    <w:rsid w:val="00F33C98"/>
    <w:rsid w:val="00F352DE"/>
    <w:rsid w:val="00F36AE2"/>
    <w:rsid w:val="00F413D2"/>
    <w:rsid w:val="00F419E1"/>
    <w:rsid w:val="00F43691"/>
    <w:rsid w:val="00F50D8A"/>
    <w:rsid w:val="00F51B11"/>
    <w:rsid w:val="00F56343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80DD7C"/>
  <w14:defaultImageDpi w14:val="0"/>
  <w15:docId w15:val="{CADC7430-5830-47E9-9249-4DDF24B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B10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6B0230"/>
    <w:rPr>
      <w:rFonts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6B0230"/>
    <w:rPr>
      <w:rFonts w:cs="Times New Roman"/>
      <w:lang w:val="ro-RO"/>
    </w:rPr>
  </w:style>
  <w:style w:type="character" w:customStyle="1" w:styleId="Titlu3Caracter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Fontdeparagrafimplici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customStyle="1" w:styleId="CorptextCaracter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B10D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styleId="Frspaiere">
    <w:name w:val="No Spacing"/>
    <w:uiPriority w:val="1"/>
    <w:qFormat/>
    <w:rsid w:val="00912246"/>
    <w:pPr>
      <w:spacing w:after="0" w:line="240" w:lineRule="auto"/>
    </w:pPr>
    <w:rPr>
      <w:rFonts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ți un document nou." ma:contentTypeScope="" ma:versionID="c4348db7fb29b55bc2041794441a6782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7ebc5c0fadd6a08a6c3878206f68cfb6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26CE39-12BB-4357-98C9-B02E669BD4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BC2C09-F142-42DB-8895-27AFD897A7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2126</Words>
  <Characters>12123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BOGDAN-GABRIEL GEORGESCU (138730)</dc:creator>
  <cp:lastModifiedBy>BOGDAN-GABRIEL GEORGESCU (138730)</cp:lastModifiedBy>
  <cp:revision>2</cp:revision>
  <dcterms:created xsi:type="dcterms:W3CDTF">2025-09-25T16:04:00Z</dcterms:created>
  <dcterms:modified xsi:type="dcterms:W3CDTF">2025-09-25T16:04:00Z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  <property fmtid="{D5CDD505-2E9C-101B-9397-08002B2CF9AE}" pid="3" name="GrammarlyDocumentId">
    <vt:lpwstr>f6a976f1-e9b8-45b0-8eb7-84eca5cba0ee</vt:lpwstr>
  </property>
</Properties>
</file>